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608" w:rsidRDefault="001F2608">
      <w:r>
        <w:t>STATE OF MAINE</w:t>
      </w:r>
      <w:r>
        <w:tab/>
      </w:r>
      <w:r>
        <w:tab/>
      </w:r>
      <w:r>
        <w:tab/>
      </w:r>
      <w:r>
        <w:tab/>
        <w:t>MAINE DISTRICT COURT</w:t>
      </w:r>
    </w:p>
    <w:p w:rsidR="001F2608" w:rsidRDefault="001F2608" w:rsidP="00272A05">
      <w:proofErr w:type="gramStart"/>
      <w:r>
        <w:t>CUMBERLAND, ss.</w:t>
      </w:r>
      <w:proofErr w:type="gramEnd"/>
      <w:r>
        <w:tab/>
      </w:r>
      <w:r>
        <w:tab/>
      </w:r>
      <w:r>
        <w:tab/>
      </w:r>
      <w:r>
        <w:tab/>
        <w:t>DISTRICT NINE</w:t>
      </w:r>
    </w:p>
    <w:p w:rsidR="00272A05" w:rsidRDefault="00272A05" w:rsidP="00272A05">
      <w:r>
        <w:tab/>
      </w:r>
      <w:r>
        <w:tab/>
      </w:r>
      <w:r>
        <w:tab/>
      </w:r>
      <w:r>
        <w:tab/>
      </w:r>
      <w:r>
        <w:tab/>
      </w:r>
      <w:r>
        <w:tab/>
        <w:t>DIVISION OF NORTHERN CUMBERLAND</w:t>
      </w:r>
    </w:p>
    <w:p w:rsidR="00272A05" w:rsidRPr="001E587D" w:rsidRDefault="00272A05" w:rsidP="00272A05">
      <w:r>
        <w:tab/>
      </w:r>
      <w:r>
        <w:tab/>
      </w:r>
      <w:r>
        <w:tab/>
      </w:r>
      <w:r>
        <w:tab/>
      </w:r>
      <w:r>
        <w:tab/>
      </w:r>
      <w:r>
        <w:tab/>
        <w:t>DOCKET NO. BRI-RE-09-65</w:t>
      </w:r>
    </w:p>
    <w:p w:rsidR="00272A05" w:rsidRDefault="00272A05">
      <w:pPr>
        <w:rPr>
          <w:u w:val="single"/>
        </w:rPr>
      </w:pPr>
    </w:p>
    <w:p w:rsidR="00272A05" w:rsidRDefault="00272A05">
      <w:pPr>
        <w:pStyle w:val="Heading1"/>
      </w:pPr>
      <w:r>
        <w:t xml:space="preserve">FEDERAL NATIONAL </w:t>
      </w:r>
      <w:proofErr w:type="gramStart"/>
      <w:r>
        <w:t>MORTGAGE</w:t>
      </w:r>
      <w:r>
        <w:tab/>
        <w:t>)</w:t>
      </w:r>
      <w:proofErr w:type="gramEnd"/>
    </w:p>
    <w:p w:rsidR="00272A05" w:rsidRDefault="00272A05">
      <w:proofErr w:type="gramStart"/>
      <w:r>
        <w:t>ASSOCIATION</w:t>
      </w:r>
      <w:r>
        <w:tab/>
      </w:r>
      <w:r>
        <w:tab/>
      </w:r>
      <w:r>
        <w:tab/>
      </w:r>
      <w:r>
        <w:tab/>
        <w:t>)</w:t>
      </w:r>
      <w:proofErr w:type="gramEnd"/>
    </w:p>
    <w:p w:rsidR="00272A05" w:rsidRDefault="00272A05">
      <w:r>
        <w:tab/>
      </w:r>
      <w:r>
        <w:tab/>
      </w:r>
      <w:r>
        <w:tab/>
      </w:r>
      <w:r>
        <w:tab/>
      </w:r>
      <w:r>
        <w:tab/>
      </w:r>
      <w:r>
        <w:tab/>
        <w:t>)</w:t>
      </w:r>
    </w:p>
    <w:p w:rsidR="00272A05" w:rsidRPr="00152B37" w:rsidRDefault="00272A05">
      <w:pPr>
        <w:rPr>
          <w:b/>
        </w:rPr>
      </w:pPr>
      <w:r>
        <w:tab/>
      </w:r>
      <w:r>
        <w:tab/>
      </w:r>
      <w:proofErr w:type="gramStart"/>
      <w:r>
        <w:t>Plaintiff</w:t>
      </w:r>
      <w:r>
        <w:tab/>
        <w:t xml:space="preserve">                        )</w:t>
      </w:r>
      <w:proofErr w:type="gramEnd"/>
      <w:r>
        <w:rPr>
          <w:b/>
        </w:rPr>
        <w:tab/>
        <w:t>DEFENDANT'S MEMORANDUM</w:t>
      </w:r>
    </w:p>
    <w:p w:rsidR="00272A05" w:rsidRDefault="00272A05">
      <w:proofErr w:type="gramStart"/>
      <w:r>
        <w:t>v.</w:t>
      </w:r>
      <w:r>
        <w:tab/>
      </w:r>
      <w:r>
        <w:tab/>
      </w:r>
      <w:r>
        <w:tab/>
      </w:r>
      <w:r>
        <w:tab/>
      </w:r>
      <w:r>
        <w:tab/>
      </w:r>
      <w:r>
        <w:tab/>
        <w:t>)</w:t>
      </w:r>
      <w:proofErr w:type="gramEnd"/>
      <w:r>
        <w:tab/>
      </w:r>
      <w:r>
        <w:rPr>
          <w:b/>
        </w:rPr>
        <w:t xml:space="preserve">IN OPPOSITION TO  </w:t>
      </w:r>
      <w:r>
        <w:tab/>
      </w:r>
    </w:p>
    <w:p w:rsidR="00272A05" w:rsidRPr="00152B37" w:rsidRDefault="00272A05">
      <w:pPr>
        <w:rPr>
          <w:b/>
        </w:rPr>
      </w:pPr>
      <w:r>
        <w:tab/>
      </w:r>
      <w:r>
        <w:tab/>
      </w:r>
      <w:r>
        <w:tab/>
      </w:r>
      <w:r>
        <w:tab/>
      </w:r>
      <w:r>
        <w:tab/>
      </w:r>
      <w:r>
        <w:tab/>
        <w:t xml:space="preserve">)           </w:t>
      </w:r>
      <w:r>
        <w:rPr>
          <w:b/>
        </w:rPr>
        <w:t xml:space="preserve">PLAINTIFF'S MOTION FOR </w:t>
      </w:r>
    </w:p>
    <w:p w:rsidR="00272A05" w:rsidRPr="00B46E16" w:rsidRDefault="00272A05">
      <w:pPr>
        <w:rPr>
          <w:b/>
        </w:rPr>
      </w:pPr>
      <w:r>
        <w:t xml:space="preserve">NICOLLE M. </w:t>
      </w:r>
      <w:proofErr w:type="gramStart"/>
      <w:r>
        <w:t>BRADBURY</w:t>
      </w:r>
      <w:r>
        <w:tab/>
      </w:r>
      <w:r>
        <w:tab/>
      </w:r>
      <w:r>
        <w:tab/>
        <w:t>)</w:t>
      </w:r>
      <w:proofErr w:type="gramEnd"/>
      <w:r>
        <w:t xml:space="preserve">           </w:t>
      </w:r>
      <w:r>
        <w:rPr>
          <w:b/>
        </w:rPr>
        <w:t>ENTRY OF PROTECTIVE ORDER</w:t>
      </w:r>
    </w:p>
    <w:p w:rsidR="00272A05" w:rsidRDefault="00272A05">
      <w:r>
        <w:t xml:space="preserve">                                                                        ) </w:t>
      </w:r>
    </w:p>
    <w:p w:rsidR="00272A05" w:rsidRDefault="00272A05">
      <w:r>
        <w:tab/>
      </w:r>
      <w:r>
        <w:tab/>
      </w:r>
      <w:proofErr w:type="gramStart"/>
      <w:r>
        <w:t>Defendant</w:t>
      </w:r>
      <w:r>
        <w:tab/>
      </w:r>
      <w:r>
        <w:tab/>
      </w:r>
      <w:r>
        <w:tab/>
        <w:t>)</w:t>
      </w:r>
      <w:proofErr w:type="gramEnd"/>
    </w:p>
    <w:p w:rsidR="00272A05" w:rsidRDefault="00272A05"/>
    <w:p w:rsidR="00272A05" w:rsidRDefault="00272A05" w:rsidP="00272A05">
      <w:pPr>
        <w:rPr>
          <w:b/>
        </w:rPr>
      </w:pPr>
      <w:r>
        <w:rPr>
          <w:b/>
        </w:rPr>
        <w:t>STATEMENT OF FACTS   ........................................................................</w:t>
      </w:r>
      <w:r w:rsidR="00E82FC5">
        <w:rPr>
          <w:b/>
        </w:rPr>
        <w:t>..............................</w:t>
      </w:r>
      <w:r>
        <w:rPr>
          <w:b/>
        </w:rPr>
        <w:t xml:space="preserve"> 2</w:t>
      </w:r>
    </w:p>
    <w:p w:rsidR="00272A05" w:rsidRDefault="00272A05" w:rsidP="00272A05">
      <w:pPr>
        <w:rPr>
          <w:b/>
        </w:rPr>
      </w:pPr>
    </w:p>
    <w:p w:rsidR="00272A05" w:rsidRDefault="00272A05" w:rsidP="00272A05">
      <w:pPr>
        <w:jc w:val="center"/>
        <w:rPr>
          <w:b/>
        </w:rPr>
      </w:pPr>
      <w:r>
        <w:rPr>
          <w:b/>
        </w:rPr>
        <w:t>ARGUMENT</w:t>
      </w:r>
    </w:p>
    <w:p w:rsidR="00272A05" w:rsidRDefault="00272A05" w:rsidP="00272A05">
      <w:pPr>
        <w:jc w:val="center"/>
        <w:rPr>
          <w:b/>
        </w:rPr>
      </w:pPr>
    </w:p>
    <w:p w:rsidR="00272A05" w:rsidRDefault="00272A05" w:rsidP="00272A05">
      <w:pPr>
        <w:rPr>
          <w:b/>
        </w:rPr>
      </w:pPr>
      <w:r>
        <w:rPr>
          <w:b/>
        </w:rPr>
        <w:t>I.  ABSENT A PROTECTIVE ORDER, THE DEFENDANT WAS ENTITLED TO DISSEMINATE THE STEPHAN DEPOSITION TRANSCRIPT AS SHE SAW</w:t>
      </w:r>
      <w:r w:rsidR="00E82FC5">
        <w:rPr>
          <w:b/>
        </w:rPr>
        <w:t xml:space="preserve"> FIT</w:t>
      </w:r>
      <w:proofErr w:type="gramStart"/>
      <w:r>
        <w:rPr>
          <w:b/>
        </w:rPr>
        <w:t>.......</w:t>
      </w:r>
      <w:proofErr w:type="gramEnd"/>
    </w:p>
    <w:p w:rsidR="00272A05" w:rsidRDefault="00272A05" w:rsidP="00272A05">
      <w:pPr>
        <w:rPr>
          <w:b/>
        </w:rPr>
      </w:pPr>
    </w:p>
    <w:p w:rsidR="000838AF" w:rsidRDefault="00272A05" w:rsidP="00272A05">
      <w:pPr>
        <w:rPr>
          <w:b/>
        </w:rPr>
      </w:pPr>
      <w:r>
        <w:rPr>
          <w:b/>
        </w:rPr>
        <w:t xml:space="preserve">II.  THE PLAINTIFF AND GMAC MORTGAGE, LLC HAVE SHOWN NO GOOD </w:t>
      </w:r>
    </w:p>
    <w:p w:rsidR="00272A05" w:rsidRDefault="00272A05" w:rsidP="00272A05">
      <w:pPr>
        <w:rPr>
          <w:b/>
        </w:rPr>
      </w:pPr>
      <w:r>
        <w:rPr>
          <w:b/>
        </w:rPr>
        <w:t>CAUSE FOR THE ISSUANCE OF A</w:t>
      </w:r>
      <w:r w:rsidR="000838AF">
        <w:rPr>
          <w:b/>
        </w:rPr>
        <w:t xml:space="preserve"> </w:t>
      </w:r>
      <w:r>
        <w:rPr>
          <w:b/>
        </w:rPr>
        <w:t>PROTECTIVE ORDER  ...........................................</w:t>
      </w:r>
    </w:p>
    <w:p w:rsidR="00272A05" w:rsidRDefault="00272A05" w:rsidP="00272A05">
      <w:pPr>
        <w:rPr>
          <w:b/>
        </w:rPr>
      </w:pPr>
    </w:p>
    <w:p w:rsidR="00272A05" w:rsidRDefault="00272A05" w:rsidP="00272A05">
      <w:pPr>
        <w:rPr>
          <w:b/>
        </w:rPr>
      </w:pPr>
      <w:r>
        <w:rPr>
          <w:b/>
        </w:rPr>
        <w:t>III.  ALL RELIEF SOUGHT BY PLAINTIFF MUST BE DENIED   .....</w:t>
      </w:r>
      <w:r w:rsidR="000838AF">
        <w:rPr>
          <w:b/>
        </w:rPr>
        <w:t>..............................</w:t>
      </w:r>
    </w:p>
    <w:p w:rsidR="00272A05" w:rsidRDefault="00272A05" w:rsidP="00272A05">
      <w:pPr>
        <w:rPr>
          <w:b/>
        </w:rPr>
      </w:pPr>
    </w:p>
    <w:p w:rsidR="000838AF" w:rsidRDefault="00272A05" w:rsidP="00272A05">
      <w:pPr>
        <w:rPr>
          <w:b/>
        </w:rPr>
      </w:pPr>
      <w:r>
        <w:rPr>
          <w:b/>
        </w:rPr>
        <w:t xml:space="preserve">IV.   DEFENDANT IS ENTITLED TO AN AWARD OF COUNSEL FEES IN </w:t>
      </w:r>
    </w:p>
    <w:p w:rsidR="00272A05" w:rsidRDefault="00272A05" w:rsidP="00272A05">
      <w:pPr>
        <w:rPr>
          <w:b/>
        </w:rPr>
      </w:pPr>
      <w:r>
        <w:rPr>
          <w:b/>
        </w:rPr>
        <w:t>DEFENDING AGAINST THE PROTECTIVE ORDER MOTION   ......</w:t>
      </w:r>
      <w:r w:rsidR="000838AF">
        <w:rPr>
          <w:b/>
        </w:rPr>
        <w:t>............................</w:t>
      </w:r>
    </w:p>
    <w:p w:rsidR="00272A05" w:rsidRPr="00B07D7B" w:rsidRDefault="00272A05" w:rsidP="00272A05">
      <w:pPr>
        <w:rPr>
          <w:b/>
        </w:rPr>
      </w:pPr>
    </w:p>
    <w:p w:rsidR="00272A05" w:rsidRDefault="00272A05" w:rsidP="00272A05">
      <w:pPr>
        <w:spacing w:line="360" w:lineRule="auto"/>
        <w:jc w:val="center"/>
        <w:rPr>
          <w:b/>
        </w:rPr>
      </w:pPr>
      <w:r>
        <w:rPr>
          <w:b/>
        </w:rPr>
        <w:t>STATEMENT OF FACTS</w:t>
      </w:r>
    </w:p>
    <w:p w:rsidR="00272A05" w:rsidRDefault="00272A05" w:rsidP="00FE1BCC">
      <w:pPr>
        <w:spacing w:line="480" w:lineRule="auto"/>
      </w:pPr>
      <w:r>
        <w:rPr>
          <w:b/>
        </w:rPr>
        <w:tab/>
      </w:r>
      <w:r>
        <w:t>At issue in this protective order proceeding is the transcript of the deposition of Jeffery Stephan taken on June 7, 2010, which reveals the complete falsity of Stephan's summary judgment affidavit.  It is that</w:t>
      </w:r>
      <w:r w:rsidR="00CA0AFC">
        <w:t xml:space="preserve"> </w:t>
      </w:r>
      <w:r>
        <w:t>August 5, 2009 affidavit of Stephan that was the sole evidence</w:t>
      </w:r>
      <w:r>
        <w:rPr>
          <w:rStyle w:val="FootnoteReference"/>
        </w:rPr>
        <w:footnoteReference w:id="-1"/>
      </w:r>
      <w:r>
        <w:t xml:space="preserve"> presented to and relied upon the Court in entering its Order for Partial Summary Judgment dated  </w:t>
      </w:r>
      <w:r w:rsidR="004647F8">
        <w:t>January 27, 2010</w:t>
      </w:r>
      <w:r>
        <w:t>.  That Order granted Plaintiff judgment on all issues except as to the amount due on the Defendant's note and mortgage.</w:t>
      </w:r>
    </w:p>
    <w:p w:rsidR="00272A05" w:rsidRPr="00C555C2" w:rsidRDefault="00272A05" w:rsidP="00FE1BCC">
      <w:pPr>
        <w:spacing w:line="480" w:lineRule="auto"/>
        <w:rPr>
          <w:b/>
        </w:rPr>
      </w:pPr>
      <w:r>
        <w:tab/>
      </w:r>
      <w:r>
        <w:rPr>
          <w:b/>
        </w:rPr>
        <w:t>a. The Falsity of the Stephan Affidavit.</w:t>
      </w:r>
    </w:p>
    <w:p w:rsidR="00272A05" w:rsidRDefault="00272A05" w:rsidP="00FE1BCC">
      <w:pPr>
        <w:spacing w:line="480" w:lineRule="auto"/>
      </w:pPr>
      <w:r>
        <w:tab/>
        <w:t xml:space="preserve">The Stephan deposition proves that Stephan's affidavit is a stunning series of lies. </w:t>
      </w:r>
    </w:p>
    <w:p w:rsidR="00272A05" w:rsidRDefault="00272A05" w:rsidP="00FE1BCC">
      <w:pPr>
        <w:spacing w:line="480" w:lineRule="auto"/>
      </w:pPr>
      <w:r>
        <w:tab/>
        <w:t xml:space="preserve">Stephan claims to have personal knowledge of the facts contained in the affidavit based upon his asserted "custody and control" of the "records relating to the mortgage transaction." </w:t>
      </w:r>
      <w:proofErr w:type="spellStart"/>
      <w:r>
        <w:t>Aff</w:t>
      </w:r>
      <w:proofErr w:type="spellEnd"/>
      <w:r>
        <w:t>. ¶ 1.  His deposition revealed that he has no custody and control of</w:t>
      </w:r>
      <w:r w:rsidR="00B02A2C">
        <w:t xml:space="preserve"> any loan records. </w:t>
      </w:r>
      <w:proofErr w:type="gramStart"/>
      <w:r w:rsidR="00B02A2C">
        <w:t>Tr. pp 69-70</w:t>
      </w:r>
      <w:r>
        <w:t>.</w:t>
      </w:r>
      <w:proofErr w:type="gramEnd"/>
      <w:r w:rsidR="00557550">
        <w:rPr>
          <w:rStyle w:val="FootnoteReference"/>
        </w:rPr>
        <w:footnoteReference w:id="0"/>
      </w:r>
      <w:r>
        <w:t xml:space="preserve">  He claims to have access to scanned computer</w:t>
      </w:r>
      <w:r w:rsidR="00B02A2C">
        <w:t xml:space="preserve"> images of those records, Tr. </w:t>
      </w:r>
      <w:r w:rsidR="00DA2F56">
        <w:t>61-62</w:t>
      </w:r>
      <w:r w:rsidR="00B906BC">
        <w:t xml:space="preserve"> &amp; 69-70</w:t>
      </w:r>
      <w:r w:rsidR="00DA2F56">
        <w:t>,</w:t>
      </w:r>
      <w:r>
        <w:t xml:space="preserve"> but he does not even look at them when signing a su</w:t>
      </w:r>
      <w:r w:rsidR="00DA2F56">
        <w:t>mmary judgment affidavit. Tr.61-62.</w:t>
      </w:r>
      <w:r>
        <w:t xml:space="preserve"> </w:t>
      </w:r>
      <w:proofErr w:type="gramStart"/>
      <w:r>
        <w:t>Thus</w:t>
      </w:r>
      <w:proofErr w:type="gramEnd"/>
      <w:r>
        <w:t xml:space="preserve"> when his affidavit asserts that he has knowledge of the facts in it "derived from my personal knowledge of these records", that statement is a </w:t>
      </w:r>
      <w:proofErr w:type="spellStart"/>
      <w:r>
        <w:t>blatent</w:t>
      </w:r>
      <w:proofErr w:type="spellEnd"/>
      <w:r>
        <w:t xml:space="preserve"> lie.  He claims to check only "the figures" in affidavits by comparing them to those in his computer system, thus even the implication in his affidavit that he has personal knowledge of those figures is false---at best those statements are hearsay based upon someone else's data entries.</w:t>
      </w:r>
    </w:p>
    <w:p w:rsidR="00272A05" w:rsidRDefault="00272A05" w:rsidP="00FE1BCC">
      <w:pPr>
        <w:spacing w:line="480" w:lineRule="auto"/>
      </w:pPr>
      <w:r>
        <w:tab/>
        <w:t>The magnitude of Stephan's false claims of knowledge about any of the facts stated in his affidavit is revealed by his stunning admission that he does not read summary judgment affidavits before signing them:</w:t>
      </w:r>
    </w:p>
    <w:p w:rsidR="00272A05" w:rsidRDefault="00272A05" w:rsidP="00272A05">
      <w:pPr>
        <w:spacing w:line="360" w:lineRule="auto"/>
      </w:pPr>
      <w:r>
        <w:t>Tr. Page 61, Line 14:</w:t>
      </w:r>
    </w:p>
    <w:p w:rsidR="00272A05" w:rsidRDefault="00272A05" w:rsidP="00272A05">
      <w:r>
        <w:tab/>
        <w:t xml:space="preserve">Q. When you receive a summary judgment affidavit to sign, do you read every paragraph of </w:t>
      </w:r>
      <w:r w:rsidR="00772B9A">
        <w:tab/>
      </w:r>
      <w:r>
        <w:t>it?</w:t>
      </w:r>
    </w:p>
    <w:p w:rsidR="00272A05" w:rsidRDefault="00272A05" w:rsidP="00272A05"/>
    <w:p w:rsidR="00272A05" w:rsidRDefault="00272A05" w:rsidP="00272A05">
      <w:r>
        <w:tab/>
        <w:t>A. No.</w:t>
      </w:r>
    </w:p>
    <w:p w:rsidR="00272A05" w:rsidRDefault="00272A05" w:rsidP="00272A05"/>
    <w:p w:rsidR="00272A05" w:rsidRDefault="00272A05" w:rsidP="00272A05">
      <w:r>
        <w:tab/>
        <w:t>Q.  What do you read?</w:t>
      </w:r>
    </w:p>
    <w:p w:rsidR="00272A05" w:rsidRDefault="00272A05" w:rsidP="00272A05"/>
    <w:p w:rsidR="00272A05" w:rsidRDefault="00272A05" w:rsidP="00272A05">
      <w:r>
        <w:tab/>
        <w:t>A. I look at the figures.</w:t>
      </w:r>
    </w:p>
    <w:p w:rsidR="00272A05" w:rsidRDefault="00272A05" w:rsidP="00272A05"/>
    <w:p w:rsidR="00272A05" w:rsidRDefault="00272A05" w:rsidP="00272A05">
      <w:r>
        <w:tab/>
        <w:t>Q.  That's all that you look at when you sign a summary judgment affidavit?</w:t>
      </w:r>
    </w:p>
    <w:p w:rsidR="00272A05" w:rsidRDefault="00272A05" w:rsidP="00272A05"/>
    <w:p w:rsidR="00272A05" w:rsidRDefault="00272A05" w:rsidP="00272A05">
      <w:r>
        <w:tab/>
        <w:t>A.  Yes, to ensure that the figures are accurate.</w:t>
      </w:r>
    </w:p>
    <w:p w:rsidR="00272A05" w:rsidRDefault="00272A05" w:rsidP="00272A05">
      <w:pPr>
        <w:spacing w:line="360" w:lineRule="auto"/>
      </w:pPr>
    </w:p>
    <w:p w:rsidR="00272A05" w:rsidRDefault="00F601D1" w:rsidP="00272A05">
      <w:r>
        <w:t>Tr. Page 62, Line 23</w:t>
      </w:r>
    </w:p>
    <w:p w:rsidR="00272A05" w:rsidRDefault="00272A05" w:rsidP="00272A05"/>
    <w:p w:rsidR="00272A05" w:rsidRDefault="00272A05" w:rsidP="00272A05">
      <w:r>
        <w:tab/>
        <w:t>Q.  Is it fair to say that when you sign a summary judgment affidavit, you do no</w:t>
      </w:r>
      <w:r w:rsidR="007F72F6">
        <w:t>t</w:t>
      </w:r>
      <w:r>
        <w:t xml:space="preserve"> know </w:t>
      </w:r>
      <w:r>
        <w:tab/>
        <w:t>what information it contains other than the figures that are set forth within it?</w:t>
      </w:r>
    </w:p>
    <w:p w:rsidR="00272A05" w:rsidRDefault="00272A05" w:rsidP="00272A05"/>
    <w:p w:rsidR="00272A05" w:rsidRDefault="00272A05" w:rsidP="00272A05">
      <w:r>
        <w:tab/>
        <w:t>A. Other than the borrower's name and if I have signing authority for that entity.  That</w:t>
      </w:r>
      <w:r w:rsidR="007F72F6">
        <w:t xml:space="preserve"> </w:t>
      </w:r>
      <w:r>
        <w:t xml:space="preserve">is </w:t>
      </w:r>
      <w:r w:rsidR="007F72F6">
        <w:tab/>
      </w:r>
      <w:r>
        <w:t>correct.</w:t>
      </w:r>
    </w:p>
    <w:p w:rsidR="00272A05" w:rsidRDefault="00272A05" w:rsidP="00272A05"/>
    <w:p w:rsidR="00272A05" w:rsidRDefault="00272A05" w:rsidP="00272A05">
      <w:r>
        <w:t>Tr.  Page 54, Line</w:t>
      </w:r>
      <w:r w:rsidR="00F601D1">
        <w:t xml:space="preserve"> 12</w:t>
      </w:r>
    </w:p>
    <w:p w:rsidR="00272A05" w:rsidRDefault="00272A05" w:rsidP="00272A05"/>
    <w:p w:rsidR="00272A05" w:rsidRDefault="00272A05" w:rsidP="00272A05">
      <w:r>
        <w:tab/>
        <w:t xml:space="preserve">Q.  When you sign a summary judgment affidavit, do you check to see if all of the </w:t>
      </w:r>
      <w:r w:rsidR="005400F5">
        <w:tab/>
      </w:r>
      <w:r>
        <w:t>exhibits are attached to it?</w:t>
      </w:r>
    </w:p>
    <w:p w:rsidR="00272A05" w:rsidRDefault="00272A05" w:rsidP="00272A05"/>
    <w:p w:rsidR="00272A05" w:rsidRDefault="00272A05" w:rsidP="00272A05">
      <w:r>
        <w:tab/>
        <w:t>A. No.</w:t>
      </w:r>
    </w:p>
    <w:p w:rsidR="00272A05" w:rsidRDefault="00272A05" w:rsidP="00272A05"/>
    <w:p w:rsidR="00272A05" w:rsidRDefault="00272A05" w:rsidP="00272A05">
      <w:r>
        <w:tab/>
        <w:t xml:space="preserve">Q.  When you sign a summary judgment affidavit, do you inspect any of the exhibits </w:t>
      </w:r>
      <w:r w:rsidR="00CA0AFC">
        <w:tab/>
      </w:r>
      <w:r>
        <w:t xml:space="preserve">attached to </w:t>
      </w:r>
      <w:proofErr w:type="gramStart"/>
      <w:r>
        <w:t>it.</w:t>
      </w:r>
      <w:proofErr w:type="gramEnd"/>
    </w:p>
    <w:p w:rsidR="00272A05" w:rsidRDefault="00272A05" w:rsidP="00272A05"/>
    <w:p w:rsidR="00401E38" w:rsidRDefault="00272A05" w:rsidP="00401E38">
      <w:r>
        <w:tab/>
        <w:t>A. No.</w:t>
      </w:r>
    </w:p>
    <w:p w:rsidR="00272A05" w:rsidRDefault="00272A05" w:rsidP="00401E38"/>
    <w:p w:rsidR="00272A05" w:rsidRDefault="00272A05" w:rsidP="00FE1BCC">
      <w:pPr>
        <w:spacing w:line="480" w:lineRule="auto"/>
      </w:pPr>
      <w:r>
        <w:tab/>
        <w:t>Stephan's personal knowledge affidavit statements that "true and correct" of the note and mortgage are attached are not known by him to be true because he does not look at the scanned images of loan documents available to him, nor does he look at the copies of documents attached to his affidavit.  While this lie is harmless here since Defendant admits the accuracy of those copies, these clear lies illustrate the falsity of the entire affidavit.</w:t>
      </w:r>
    </w:p>
    <w:p w:rsidR="001F2608" w:rsidRDefault="00272A05" w:rsidP="00FE1BCC">
      <w:pPr>
        <w:spacing w:line="480" w:lineRule="auto"/>
      </w:pPr>
      <w:r>
        <w:tab/>
        <w:t>When Stephan goes on his affidavit to assert his personal knowledge of the fact of and date of mailing of the alleged default notice to Defendant, the assertion that he has knowled</w:t>
      </w:r>
      <w:r w:rsidR="00B26ED7">
        <w:t>ge of those facts also is a lie because he looked at no business records to determine if it was true.</w:t>
      </w:r>
    </w:p>
    <w:p w:rsidR="005400F5" w:rsidRDefault="001F2608" w:rsidP="00FE1BCC">
      <w:pPr>
        <w:spacing w:line="480" w:lineRule="auto"/>
      </w:pPr>
      <w:r>
        <w:tab/>
        <w:t>And of disturbing importance is the fact that Stephan does not even trouble himself to appear before a notary to be sworn.</w:t>
      </w:r>
    </w:p>
    <w:p w:rsidR="005400F5" w:rsidRDefault="008B38E3" w:rsidP="00272A05">
      <w:pPr>
        <w:spacing w:line="360" w:lineRule="auto"/>
      </w:pPr>
      <w:r>
        <w:t>Tr. p. 56, Line 7</w:t>
      </w:r>
    </w:p>
    <w:p w:rsidR="00CA0AFC" w:rsidRDefault="005400F5" w:rsidP="005400F5">
      <w:r>
        <w:tab/>
        <w:t>Q. My question to you is where does a summary judgment affidavit go after you sign</w:t>
      </w:r>
      <w:r w:rsidR="001445B4">
        <w:t xml:space="preserve"> </w:t>
      </w:r>
      <w:r>
        <w:t>it?</w:t>
      </w:r>
    </w:p>
    <w:p w:rsidR="005400F5" w:rsidRDefault="005400F5" w:rsidP="005400F5"/>
    <w:p w:rsidR="00CA0AFC" w:rsidRDefault="005400F5" w:rsidP="005400F5">
      <w:r>
        <w:tab/>
        <w:t xml:space="preserve">A.  After I sign it, it is handed back to my staff.  My staff hands it to a notary for </w:t>
      </w:r>
      <w:r w:rsidR="00CA0AFC">
        <w:tab/>
      </w:r>
      <w:r>
        <w:t>notarization. They send it back to the attorney network requesting any type of affidavit.</w:t>
      </w:r>
    </w:p>
    <w:p w:rsidR="005400F5" w:rsidRDefault="005400F5" w:rsidP="005400F5"/>
    <w:p w:rsidR="00CA0AFC" w:rsidRDefault="005400F5" w:rsidP="005400F5">
      <w:r>
        <w:tab/>
        <w:t xml:space="preserve">Q.  So you </w:t>
      </w:r>
      <w:r w:rsidR="001445B4">
        <w:t>do not appear before the notary</w:t>
      </w:r>
      <w:proofErr w:type="gramStart"/>
      <w:r w:rsidR="001445B4">
        <w:t>;</w:t>
      </w:r>
      <w:proofErr w:type="gramEnd"/>
      <w:r w:rsidR="001445B4">
        <w:t xml:space="preserve"> is that correct?</w:t>
      </w:r>
    </w:p>
    <w:p w:rsidR="005400F5" w:rsidRDefault="005400F5" w:rsidP="005400F5"/>
    <w:p w:rsidR="00272A05" w:rsidRDefault="005400F5" w:rsidP="00CA0AFC">
      <w:r>
        <w:tab/>
        <w:t>A. I do not.</w:t>
      </w:r>
    </w:p>
    <w:p w:rsidR="00272A05" w:rsidRDefault="00272A05" w:rsidP="00272A05">
      <w:pPr>
        <w:spacing w:line="360" w:lineRule="auto"/>
      </w:pPr>
    </w:p>
    <w:p w:rsidR="00272A05" w:rsidRDefault="00272A05" w:rsidP="00FE1BCC">
      <w:pPr>
        <w:spacing w:line="480" w:lineRule="auto"/>
      </w:pPr>
      <w:r>
        <w:tab/>
        <w:t xml:space="preserve">It is this testimony that Plaintiff and GMAC Mortgage seek to hide by their motion for </w:t>
      </w:r>
      <w:r w:rsidR="001445B4">
        <w:t xml:space="preserve">a </w:t>
      </w:r>
      <w:r>
        <w:t>protective order.</w:t>
      </w:r>
    </w:p>
    <w:p w:rsidR="005C6801" w:rsidRDefault="00272A05" w:rsidP="00FE1BCC">
      <w:pPr>
        <w:spacing w:line="480" w:lineRule="auto"/>
        <w:rPr>
          <w:b/>
        </w:rPr>
      </w:pPr>
      <w:r>
        <w:tab/>
      </w:r>
      <w:r>
        <w:rPr>
          <w:b/>
        </w:rPr>
        <w:t>b.  Plaintiff's Allegations of "Improper Disclosure" of the Stephan Transcript.</w:t>
      </w:r>
    </w:p>
    <w:p w:rsidR="00272A05" w:rsidRPr="006E2E2F" w:rsidRDefault="005C6801" w:rsidP="00FE1BCC">
      <w:pPr>
        <w:spacing w:line="480" w:lineRule="auto"/>
      </w:pPr>
      <w:r>
        <w:rPr>
          <w:b/>
        </w:rPr>
        <w:tab/>
      </w:r>
      <w:r>
        <w:t xml:space="preserve">Plaintiff </w:t>
      </w:r>
      <w:r w:rsidR="00647A4C">
        <w:rPr>
          <w:rStyle w:val="FootnoteReference"/>
        </w:rPr>
        <w:footnoteReference w:id="1"/>
      </w:r>
      <w:r w:rsidR="00647A4C">
        <w:t xml:space="preserve"> </w:t>
      </w:r>
      <w:r>
        <w:t>and GMAC</w:t>
      </w:r>
      <w:r w:rsidR="001537B0">
        <w:t xml:space="preserve"> Mortgage</w:t>
      </w:r>
      <w:r w:rsidR="00647A4C">
        <w:t>, LLC</w:t>
      </w:r>
      <w:r w:rsidR="001537B0">
        <w:t xml:space="preserve"> now assert tha</w:t>
      </w:r>
      <w:r w:rsidR="001445B4">
        <w:t>t the appearance of the</w:t>
      </w:r>
      <w:r w:rsidR="00290CDF">
        <w:t xml:space="preserve"> Stephan's transcript on an Internet</w:t>
      </w:r>
      <w:r w:rsidR="001537B0">
        <w:t xml:space="preserve"> blog of a Florida </w:t>
      </w:r>
      <w:r w:rsidR="00B11125">
        <w:t>foreclosure defense</w:t>
      </w:r>
      <w:r w:rsidR="00D908A3">
        <w:t xml:space="preserve"> </w:t>
      </w:r>
      <w:r w:rsidR="001537B0">
        <w:t>lawyer is evidence of improper conduct of Defendant's counsel</w:t>
      </w:r>
      <w:r w:rsidR="004111DC">
        <w:t xml:space="preserve">.  Offering no evidence whatsoever, </w:t>
      </w:r>
      <w:r w:rsidR="00D908A3">
        <w:t>GMAC</w:t>
      </w:r>
      <w:r w:rsidR="004111DC">
        <w:t xml:space="preserve"> speculate</w:t>
      </w:r>
      <w:r w:rsidR="00D908A3">
        <w:t>s</w:t>
      </w:r>
      <w:r w:rsidR="004111DC">
        <w:t xml:space="preserve"> that Defendant's cou</w:t>
      </w:r>
      <w:r w:rsidR="000B35A2">
        <w:t>n</w:t>
      </w:r>
      <w:r w:rsidR="004111DC">
        <w:t>sel sent the transcript to the Florida attorney</w:t>
      </w:r>
      <w:r w:rsidR="00D01559">
        <w:t xml:space="preserve"> who published it</w:t>
      </w:r>
      <w:r w:rsidR="007143C5">
        <w:t>,</w:t>
      </w:r>
      <w:r w:rsidR="007844CA">
        <w:t xml:space="preserve"> </w:t>
      </w:r>
      <w:r w:rsidR="006E2E2F">
        <w:t xml:space="preserve">and </w:t>
      </w:r>
      <w:r w:rsidR="00290CDF">
        <w:t>insinuate</w:t>
      </w:r>
      <w:r w:rsidR="006E2E2F">
        <w:t xml:space="preserve"> that it was </w:t>
      </w:r>
      <w:r w:rsidR="00D908A3">
        <w:t xml:space="preserve">improper for the transcript to </w:t>
      </w:r>
      <w:r w:rsidR="006E2E2F">
        <w:t xml:space="preserve">be shared with other lawyers defending homeowners in foreclosure actions.  After </w:t>
      </w:r>
      <w:r w:rsidR="007844CA">
        <w:t xml:space="preserve">all of </w:t>
      </w:r>
      <w:r w:rsidR="006E2E2F">
        <w:t>the innuendo</w:t>
      </w:r>
      <w:r w:rsidR="00290CDF">
        <w:t>,</w:t>
      </w:r>
      <w:r w:rsidR="00170ABC">
        <w:t xml:space="preserve"> </w:t>
      </w:r>
      <w:r w:rsidR="00D908A3">
        <w:t>GMAC</w:t>
      </w:r>
      <w:r w:rsidR="00170ABC">
        <w:t xml:space="preserve"> admit</w:t>
      </w:r>
      <w:r w:rsidR="00D908A3">
        <w:t>s</w:t>
      </w:r>
      <w:r w:rsidR="00170ABC">
        <w:t xml:space="preserve"> that "it is irrelevant whether or not Mr. Weidner</w:t>
      </w:r>
      <w:r w:rsidR="00D908A3">
        <w:t xml:space="preserve"> is the attorney to whom Mr. Cox</w:t>
      </w:r>
      <w:r w:rsidR="00170ABC">
        <w:t xml:space="preserve"> disclosed the transcript</w:t>
      </w:r>
      <w:r w:rsidR="00D908A3">
        <w:t xml:space="preserve"> . .</w:t>
      </w:r>
      <w:r w:rsidR="00FC6742">
        <w:t xml:space="preserve"> .</w:t>
      </w:r>
      <w:r w:rsidR="00D908A3">
        <w:t xml:space="preserve"> " Pl. Motion</w:t>
      </w:r>
      <w:r w:rsidR="00290CDF">
        <w:t xml:space="preserve"> ¶12.</w:t>
      </w:r>
    </w:p>
    <w:p w:rsidR="00FA7594" w:rsidRDefault="00272A05" w:rsidP="00FE1BCC">
      <w:pPr>
        <w:spacing w:line="480" w:lineRule="auto"/>
        <w:rPr>
          <w:b/>
        </w:rPr>
      </w:pPr>
      <w:r>
        <w:rPr>
          <w:b/>
        </w:rPr>
        <w:tab/>
        <w:t>c. The Alleged Harm Claimed by Plaintiff and GMAC Mortgage, LLC.</w:t>
      </w:r>
    </w:p>
    <w:p w:rsidR="00E51165" w:rsidRDefault="00647A4C" w:rsidP="00FE1BCC">
      <w:pPr>
        <w:spacing w:line="480" w:lineRule="auto"/>
      </w:pPr>
      <w:r>
        <w:tab/>
        <w:t>The harm that GMAC</w:t>
      </w:r>
      <w:r w:rsidR="00E444A9">
        <w:t xml:space="preserve"> complain</w:t>
      </w:r>
      <w:r>
        <w:t>s</w:t>
      </w:r>
      <w:r w:rsidR="00E444A9">
        <w:t xml:space="preserve"> of is that</w:t>
      </w:r>
      <w:r w:rsidR="00B440ED">
        <w:t xml:space="preserve">, after </w:t>
      </w:r>
      <w:r w:rsidR="00F54707">
        <w:t xml:space="preserve">alleged dissemination of </w:t>
      </w:r>
      <w:r w:rsidR="00FC6742">
        <w:t>the Stephan</w:t>
      </w:r>
      <w:r w:rsidR="00B440ED">
        <w:t xml:space="preserve"> transcript</w:t>
      </w:r>
      <w:r w:rsidR="00755D6A">
        <w:t xml:space="preserve"> that revealed</w:t>
      </w:r>
      <w:r w:rsidR="00B440ED">
        <w:t xml:space="preserve"> his and GMAC's utter contempt for the Maine judicial process</w:t>
      </w:r>
      <w:r w:rsidR="00F54707">
        <w:t>,</w:t>
      </w:r>
      <w:r w:rsidR="00E444A9">
        <w:t xml:space="preserve"> GMAC</w:t>
      </w:r>
      <w:r w:rsidR="00B440ED">
        <w:t xml:space="preserve"> as a corporate entity </w:t>
      </w:r>
      <w:r w:rsidR="00E444A9">
        <w:t>and its employees have suffered "embarrassment</w:t>
      </w:r>
      <w:r w:rsidR="00B440ED">
        <w:t>, annoyance, intimidation and oppression".</w:t>
      </w:r>
      <w:r w:rsidR="00C8616C">
        <w:t xml:space="preserve">  They offer no affidavits and not on</w:t>
      </w:r>
      <w:r w:rsidR="00F401C8">
        <w:t>e</w:t>
      </w:r>
      <w:r w:rsidR="00C8616C">
        <w:t xml:space="preserve"> shred of evidence to support this absurd claim.  </w:t>
      </w:r>
      <w:r w:rsidR="00564DE8">
        <w:t xml:space="preserve">The </w:t>
      </w:r>
      <w:r w:rsidR="00715F31">
        <w:t>real harm</w:t>
      </w:r>
      <w:r w:rsidR="00ED3030">
        <w:t xml:space="preserve"> or </w:t>
      </w:r>
      <w:r w:rsidR="00564DE8">
        <w:t xml:space="preserve">"effect" of the dissemination of the Stephan transcript that </w:t>
      </w:r>
      <w:r>
        <w:t>GMAC</w:t>
      </w:r>
      <w:r w:rsidR="004461A5">
        <w:t xml:space="preserve"> </w:t>
      </w:r>
      <w:r w:rsidR="00AD061D">
        <w:t xml:space="preserve">wants </w:t>
      </w:r>
      <w:r w:rsidR="00ED3030">
        <w:t xml:space="preserve">this Court </w:t>
      </w:r>
      <w:r w:rsidR="006E7407">
        <w:t xml:space="preserve">to </w:t>
      </w:r>
      <w:r w:rsidR="00ED3030">
        <w:t xml:space="preserve">aid </w:t>
      </w:r>
      <w:r w:rsidR="007143C5">
        <w:t xml:space="preserve">it </w:t>
      </w:r>
      <w:r w:rsidR="00ED3030">
        <w:t>in avoiding</w:t>
      </w:r>
      <w:r w:rsidR="00732930">
        <w:t>, is that the transcript</w:t>
      </w:r>
      <w:r w:rsidR="004461A5">
        <w:t xml:space="preserve"> has exposed the fact </w:t>
      </w:r>
      <w:r w:rsidR="007844CA">
        <w:t>that j</w:t>
      </w:r>
      <w:r w:rsidR="00ED3030">
        <w:t>udgments</w:t>
      </w:r>
      <w:r w:rsidR="004461A5">
        <w:t xml:space="preserve"> entered in every judicia</w:t>
      </w:r>
      <w:r w:rsidR="00BA6A37">
        <w:t>l foreclosure state into which Stephan'</w:t>
      </w:r>
      <w:r w:rsidR="004461A5">
        <w:t>s affidavits have been sent</w:t>
      </w:r>
      <w:r w:rsidR="00ED3030">
        <w:t xml:space="preserve"> are vulnerable to being set aside as having been procured by fraud.</w:t>
      </w:r>
    </w:p>
    <w:p w:rsidR="00E51165" w:rsidRDefault="00E51165" w:rsidP="00FE1BCC">
      <w:pPr>
        <w:spacing w:line="480" w:lineRule="auto"/>
      </w:pPr>
      <w:r>
        <w:tab/>
      </w:r>
      <w:r>
        <w:rPr>
          <w:b/>
        </w:rPr>
        <w:t>d.</w:t>
      </w:r>
      <w:r w:rsidR="00E73C3A">
        <w:rPr>
          <w:b/>
        </w:rPr>
        <w:t xml:space="preserve">  The Relief Sought by GMAC</w:t>
      </w:r>
      <w:r>
        <w:rPr>
          <w:b/>
        </w:rPr>
        <w:t>.</w:t>
      </w:r>
    </w:p>
    <w:p w:rsidR="00E73C3A" w:rsidRDefault="00E51165" w:rsidP="00FE1BCC">
      <w:pPr>
        <w:spacing w:line="480" w:lineRule="auto"/>
      </w:pPr>
      <w:r>
        <w:tab/>
      </w:r>
      <w:r w:rsidR="00E73C3A">
        <w:t>GMAC seeks the following relief:</w:t>
      </w:r>
    </w:p>
    <w:p w:rsidR="00485406" w:rsidRDefault="00E73C3A" w:rsidP="00FE1BCC">
      <w:pPr>
        <w:spacing w:line="480" w:lineRule="auto"/>
      </w:pPr>
      <w:r>
        <w:tab/>
      </w:r>
      <w:r>
        <w:tab/>
      </w:r>
      <w:proofErr w:type="spellStart"/>
      <w:r>
        <w:t>i</w:t>
      </w:r>
      <w:proofErr w:type="spellEnd"/>
      <w:r>
        <w:t>.  A pr</w:t>
      </w:r>
      <w:r w:rsidR="00485406">
        <w:t xml:space="preserve">ohibition "from disseminating discovery materials for purposes </w:t>
      </w:r>
      <w:r w:rsidR="00F15834">
        <w:tab/>
      </w:r>
      <w:r w:rsidR="00F15834">
        <w:tab/>
      </w:r>
      <w:r w:rsidR="00F15834">
        <w:tab/>
      </w:r>
      <w:r w:rsidR="00485406">
        <w:t>unrelated to trial preparation, trial or settlem</w:t>
      </w:r>
      <w:r w:rsidR="00D354C0">
        <w:t>ent of this particular lawsuit".</w:t>
      </w:r>
      <w:r w:rsidR="00F15834">
        <w:tab/>
      </w:r>
      <w:proofErr w:type="gramStart"/>
      <w:r w:rsidR="00485406">
        <w:t xml:space="preserve">Plaintiff </w:t>
      </w:r>
      <w:r w:rsidR="00755D6A">
        <w:t xml:space="preserve"> </w:t>
      </w:r>
      <w:r w:rsidR="00485406">
        <w:t>Motion</w:t>
      </w:r>
      <w:proofErr w:type="gramEnd"/>
      <w:r w:rsidR="00100412">
        <w:t xml:space="preserve"> </w:t>
      </w:r>
      <w:r w:rsidR="00AD061D">
        <w:tab/>
      </w:r>
      <w:r w:rsidR="00100412">
        <w:t>¶15</w:t>
      </w:r>
      <w:r w:rsidR="00F36452">
        <w:t>.</w:t>
      </w:r>
    </w:p>
    <w:p w:rsidR="00100412" w:rsidRDefault="00485406" w:rsidP="00FE1BCC">
      <w:pPr>
        <w:spacing w:line="480" w:lineRule="auto"/>
      </w:pPr>
      <w:r>
        <w:tab/>
      </w:r>
      <w:r>
        <w:tab/>
        <w:t>ii.</w:t>
      </w:r>
      <w:r w:rsidR="00100412">
        <w:t xml:space="preserve"> Retroactive application of the order "so as to protect information already </w:t>
      </w:r>
      <w:r w:rsidR="00F15834">
        <w:tab/>
      </w:r>
      <w:r w:rsidR="00F15834">
        <w:tab/>
      </w:r>
      <w:r w:rsidR="00100412">
        <w:t>obtained . . ." Plaintiff Motion ¶16.</w:t>
      </w:r>
      <w:r w:rsidR="00755D6A">
        <w:t xml:space="preserve">  It is not clear what GMAC is asking for here.</w:t>
      </w:r>
    </w:p>
    <w:p w:rsidR="00617975" w:rsidRDefault="00CE65FD" w:rsidP="00FE1BCC">
      <w:pPr>
        <w:spacing w:line="480" w:lineRule="auto"/>
      </w:pPr>
      <w:r>
        <w:tab/>
      </w:r>
      <w:r>
        <w:tab/>
        <w:t xml:space="preserve">iii. Sanctions against Defendant's counsel including an order that "Mr. Cox be </w:t>
      </w:r>
      <w:r w:rsidR="00F15834">
        <w:tab/>
      </w:r>
      <w:r w:rsidR="00F15834">
        <w:tab/>
      </w:r>
      <w:r>
        <w:t xml:space="preserve">required to reimburse Plaintiff for all fees and costs associated with filing this </w:t>
      </w:r>
      <w:r w:rsidR="00F15834">
        <w:tab/>
      </w:r>
      <w:r w:rsidR="00F15834">
        <w:tab/>
      </w:r>
      <w:r>
        <w:t>motion for protective order."</w:t>
      </w:r>
      <w:r w:rsidR="00617975">
        <w:t xml:space="preserve"> </w:t>
      </w:r>
      <w:proofErr w:type="gramStart"/>
      <w:r w:rsidR="00617975">
        <w:t>Plaintiff Motion ¶17.</w:t>
      </w:r>
      <w:proofErr w:type="gramEnd"/>
    </w:p>
    <w:p w:rsidR="00A330FF" w:rsidRDefault="00617975" w:rsidP="00FE1BCC">
      <w:pPr>
        <w:spacing w:line="480" w:lineRule="auto"/>
      </w:pPr>
      <w:r>
        <w:tab/>
      </w:r>
      <w:r>
        <w:tab/>
        <w:t xml:space="preserve">iv.  An order that "Mr. Cox should be </w:t>
      </w:r>
      <w:r w:rsidR="00F15834">
        <w:t xml:space="preserve">barred from using Mr. Stephan's </w:t>
      </w:r>
      <w:r w:rsidR="00F15834">
        <w:tab/>
      </w:r>
      <w:r w:rsidR="00F15834">
        <w:tab/>
      </w:r>
      <w:r w:rsidR="00F15834">
        <w:tab/>
      </w:r>
      <w:r>
        <w:t>transcript in his other cases against GMAC</w:t>
      </w:r>
      <w:r w:rsidR="00A330FF">
        <w:t xml:space="preserve">M." </w:t>
      </w:r>
      <w:proofErr w:type="gramStart"/>
      <w:r w:rsidR="00A330FF">
        <w:t>Plaintiff Motion ¶ 17.</w:t>
      </w:r>
      <w:proofErr w:type="gramEnd"/>
    </w:p>
    <w:p w:rsidR="00A330FF" w:rsidRDefault="00A330FF" w:rsidP="00FE1BCC">
      <w:pPr>
        <w:spacing w:line="480" w:lineRule="auto"/>
      </w:pPr>
      <w:r>
        <w:tab/>
      </w:r>
      <w:r w:rsidR="00F36452">
        <w:rPr>
          <w:b/>
        </w:rPr>
        <w:t>e</w:t>
      </w:r>
      <w:r>
        <w:rPr>
          <w:b/>
        </w:rPr>
        <w:t>.  The Facts Regarding Defendant's Counsel.</w:t>
      </w:r>
    </w:p>
    <w:p w:rsidR="0075436C" w:rsidRDefault="00C214A3" w:rsidP="0075436C">
      <w:pPr>
        <w:spacing w:line="480" w:lineRule="auto"/>
      </w:pPr>
      <w:r>
        <w:tab/>
      </w:r>
      <w:r w:rsidR="00A330FF">
        <w:t xml:space="preserve">Before the deposition of </w:t>
      </w:r>
      <w:r w:rsidR="00EE69DF">
        <w:t>Jeffery Stephan began on June 7, 2010, GMAC knew that Defendant's counsel was representing Maine homeowners in two other pending GMAC mortgage foreclosure cases, because GMAC counsel was also counsel in those cases.</w:t>
      </w:r>
      <w:r w:rsidR="000D1BD3">
        <w:t xml:space="preserve"> Similarly, it knew of his role in the Maine Attorneys Saving Homes ("MASH") program </w:t>
      </w:r>
      <w:r>
        <w:t>because</w:t>
      </w:r>
      <w:r w:rsidR="00F36452">
        <w:t xml:space="preserve"> Benjamin Campo, Esq., the</w:t>
      </w:r>
      <w:r w:rsidR="00620513">
        <w:t xml:space="preserve"> </w:t>
      </w:r>
      <w:r w:rsidR="001E33DD">
        <w:t>attorney in</w:t>
      </w:r>
      <w:r w:rsidR="00620513">
        <w:t xml:space="preserve"> the law firm </w:t>
      </w:r>
      <w:r w:rsidR="001E33DD">
        <w:t xml:space="preserve">who signed the complaint in this </w:t>
      </w:r>
      <w:r w:rsidR="00AA623F">
        <w:t>action and</w:t>
      </w:r>
      <w:r w:rsidR="001E33DD">
        <w:t xml:space="preserve"> which represented</w:t>
      </w:r>
      <w:r w:rsidR="00620513">
        <w:t xml:space="preserve"> GMAC at the time of the Stephan deposition, </w:t>
      </w:r>
      <w:r w:rsidR="000D1BD3">
        <w:t xml:space="preserve">has been a </w:t>
      </w:r>
      <w:r w:rsidR="00072A0C">
        <w:t>participant in the MASH program</w:t>
      </w:r>
      <w:r w:rsidR="00B964EE">
        <w:t>, has</w:t>
      </w:r>
      <w:r w:rsidR="00072A0C">
        <w:t xml:space="preserve"> attended a</w:t>
      </w:r>
      <w:r w:rsidR="000D1BD3">
        <w:t xml:space="preserve"> training program put on by it</w:t>
      </w:r>
      <w:r>
        <w:t>,</w:t>
      </w:r>
      <w:r w:rsidR="00B964EE">
        <w:t xml:space="preserve"> and has even </w:t>
      </w:r>
      <w:r w:rsidR="00F17CE4">
        <w:t>received</w:t>
      </w:r>
      <w:r w:rsidR="00B964EE">
        <w:t xml:space="preserve"> email correspondence from the undersigned counsel for</w:t>
      </w:r>
      <w:r w:rsidR="00F17CE4">
        <w:t xml:space="preserve"> Defendant attempting to refer a</w:t>
      </w:r>
      <w:r w:rsidR="00B964EE">
        <w:t xml:space="preserve"> MASH foreclosure defense case to him. </w:t>
      </w:r>
    </w:p>
    <w:p w:rsidR="0029089E" w:rsidRDefault="00732930" w:rsidP="0075436C">
      <w:pPr>
        <w:rPr>
          <w:b/>
        </w:rPr>
      </w:pPr>
      <w:r>
        <w:rPr>
          <w:b/>
        </w:rPr>
        <w:t>I.  ABSENT A PROTECTIVE ORDER, THE DEFENDANT WAS ENTITLED TO DISSEMINATE THE STEPHAN DEPOSITION TRANSCRIPT AS SHE SAW FIT</w:t>
      </w:r>
      <w:r w:rsidR="00E31810">
        <w:rPr>
          <w:b/>
        </w:rPr>
        <w:t>.</w:t>
      </w:r>
    </w:p>
    <w:p w:rsidR="00E31810" w:rsidRDefault="00E31810" w:rsidP="0029089E">
      <w:pPr>
        <w:rPr>
          <w:b/>
        </w:rPr>
      </w:pPr>
    </w:p>
    <w:p w:rsidR="00C03EC4" w:rsidRDefault="00E31810" w:rsidP="00DE4EC6">
      <w:pPr>
        <w:spacing w:line="480" w:lineRule="auto"/>
      </w:pPr>
      <w:r>
        <w:rPr>
          <w:b/>
        </w:rPr>
        <w:tab/>
      </w:r>
      <w:r>
        <w:t>GMAC asserts that "(</w:t>
      </w:r>
      <w:proofErr w:type="gramStart"/>
      <w:r>
        <w:t>t)his</w:t>
      </w:r>
      <w:proofErr w:type="gramEnd"/>
      <w:r>
        <w:t xml:space="preserve"> dissemination of Mr. Stephan's testimony is </w:t>
      </w:r>
      <w:r w:rsidR="00BA6A37">
        <w:t>inconsistent</w:t>
      </w:r>
      <w:r>
        <w:t xml:space="preserve"> with the Maine Rule</w:t>
      </w:r>
      <w:r w:rsidR="00A801F1">
        <w:t>s</w:t>
      </w:r>
      <w:r>
        <w:t xml:space="preserve"> of Civil Procedure</w:t>
      </w:r>
      <w:r w:rsidR="00C65F57">
        <w:t xml:space="preserve"> . . ." Plaintiff Mot</w:t>
      </w:r>
      <w:r w:rsidR="00A801F1">
        <w:t>ion</w:t>
      </w:r>
      <w:r w:rsidR="00C65F57">
        <w:t xml:space="preserve"> ¶8.</w:t>
      </w:r>
      <w:r w:rsidR="002B61CE">
        <w:t xml:space="preserve">  The</w:t>
      </w:r>
      <w:r w:rsidR="00D717AC">
        <w:t xml:space="preserve"> First Circuit Court of Appeals, dealing with the Federal </w:t>
      </w:r>
      <w:r w:rsidR="00075140">
        <w:t>equivalent</w:t>
      </w:r>
      <w:r w:rsidR="00D717AC">
        <w:t xml:space="preserve"> of Maine's Rule 26, </w:t>
      </w:r>
      <w:r w:rsidR="00A01435">
        <w:t xml:space="preserve">certainly </w:t>
      </w:r>
      <w:r w:rsidR="002B61CE">
        <w:t xml:space="preserve">does not see it that way, holding that " the Supreme Court has noted that parties have </w:t>
      </w:r>
      <w:r w:rsidR="005C6A78">
        <w:t xml:space="preserve">general </w:t>
      </w:r>
      <w:r w:rsidR="005C6A78">
        <w:rPr>
          <w:i/>
        </w:rPr>
        <w:t>first amendment</w:t>
      </w:r>
      <w:r w:rsidR="005C6A78">
        <w:t xml:space="preserve"> freedoms with regard to information gained through discovery and that, absent a valid court order to the contrary, they are entitled to disseminate the information as they see fit."</w:t>
      </w:r>
      <w:r w:rsidR="00673BBE">
        <w:t xml:space="preserve"> </w:t>
      </w:r>
      <w:r w:rsidR="00DF5D5F">
        <w:t>(</w:t>
      </w:r>
      <w:proofErr w:type="gramStart"/>
      <w:r w:rsidR="00DF5D5F">
        <w:t>emphasis</w:t>
      </w:r>
      <w:proofErr w:type="gramEnd"/>
      <w:r w:rsidR="00DF5D5F">
        <w:t xml:space="preserve"> in original) </w:t>
      </w:r>
      <w:r w:rsidR="00673BBE">
        <w:rPr>
          <w:i/>
        </w:rPr>
        <w:t xml:space="preserve">Public Citizen Group v. Liggett Group, Inc., </w:t>
      </w:r>
      <w:r w:rsidR="00673BBE">
        <w:t>858 F.2d 775,</w:t>
      </w:r>
      <w:r w:rsidR="00C436F3">
        <w:t xml:space="preserve"> 780 (</w:t>
      </w:r>
      <w:r w:rsidR="009D5804">
        <w:t xml:space="preserve">1st Cir. </w:t>
      </w:r>
      <w:r w:rsidR="00C436F3">
        <w:t xml:space="preserve">1988), citing </w:t>
      </w:r>
      <w:r w:rsidR="00C436F3">
        <w:rPr>
          <w:i/>
        </w:rPr>
        <w:t xml:space="preserve">Seattle Times Co. v. </w:t>
      </w:r>
      <w:proofErr w:type="spellStart"/>
      <w:r w:rsidR="00C436F3">
        <w:rPr>
          <w:i/>
        </w:rPr>
        <w:t>Rhinehart</w:t>
      </w:r>
      <w:proofErr w:type="spellEnd"/>
      <w:r w:rsidR="00C436F3">
        <w:t xml:space="preserve">, 467 </w:t>
      </w:r>
      <w:r w:rsidR="00B644BF">
        <w:t>U.S. 20, 31-36, 81 L.</w:t>
      </w:r>
      <w:r w:rsidR="00BA6A37">
        <w:t xml:space="preserve"> </w:t>
      </w:r>
      <w:r w:rsidR="00B644BF">
        <w:t>Ed. 2d 17, 104 S. Ct. 2199 (1984).</w:t>
      </w:r>
      <w:r w:rsidR="00107705">
        <w:t xml:space="preserve"> Going on from there, the First Circuit adopted </w:t>
      </w:r>
      <w:r w:rsidR="00DF5D5F">
        <w:t xml:space="preserve">the </w:t>
      </w:r>
      <w:r w:rsidR="00107705">
        <w:t xml:space="preserve">reasoning of the Second Circuit Court of </w:t>
      </w:r>
      <w:r w:rsidR="00BA6A37">
        <w:t>Appeals, which</w:t>
      </w:r>
      <w:r w:rsidR="00C03EC4">
        <w:t xml:space="preserve"> held as follows:</w:t>
      </w:r>
    </w:p>
    <w:p w:rsidR="00C03EC4" w:rsidRPr="00DF5D5F" w:rsidRDefault="00C03EC4" w:rsidP="00C03EC4">
      <w:pPr>
        <w:ind w:left="600" w:right="600"/>
        <w:jc w:val="both"/>
      </w:pPr>
      <w:r>
        <w:tab/>
      </w:r>
      <w:r w:rsidRPr="00C03EC4">
        <w:t xml:space="preserve">   A plain reading of the language of </w:t>
      </w:r>
      <w:r w:rsidRPr="00C03EC4">
        <w:rPr>
          <w:i/>
          <w:iCs/>
        </w:rPr>
        <w:t>Rule 26(c)</w:t>
      </w:r>
      <w:r w:rsidRPr="00C03EC4">
        <w:t xml:space="preserve"> demonstrates that the party seeking a protective order has the burden of showing that good cause exists for issuance of that order. It is equally apparent that the obverse also is true, i.e., </w:t>
      </w:r>
      <w:r w:rsidRPr="00DF5D5F">
        <w:rPr>
          <w:i/>
        </w:rPr>
        <w:t xml:space="preserve">if good cause is not shown, the discovery materials in question should not receive judicial protection and therefore would be open to the public for </w:t>
      </w:r>
      <w:proofErr w:type="gramStart"/>
      <w:r w:rsidRPr="00DF5D5F">
        <w:rPr>
          <w:i/>
        </w:rPr>
        <w:t>inspection.</w:t>
      </w:r>
      <w:proofErr w:type="gramEnd"/>
      <w:r w:rsidRPr="00DF5D5F">
        <w:rPr>
          <w:i/>
        </w:rPr>
        <w:t xml:space="preserve"> . . . Any other conclusion effectively would negate the good cause requirement of </w:t>
      </w:r>
      <w:r w:rsidRPr="00DF5D5F">
        <w:rPr>
          <w:i/>
          <w:iCs/>
        </w:rPr>
        <w:t>rule 26(c)</w:t>
      </w:r>
      <w:r w:rsidRPr="00DF5D5F">
        <w:rPr>
          <w:i/>
        </w:rPr>
        <w:t>: Unless the public has a presumptive right of access to discovery materials, the party seeking to protect the materials would have no need for a judicial order since the public would [**47</w:t>
      </w:r>
      <w:proofErr w:type="gramStart"/>
      <w:r w:rsidRPr="00DF5D5F">
        <w:rPr>
          <w:i/>
        </w:rPr>
        <w:t>]  not</w:t>
      </w:r>
      <w:proofErr w:type="gramEnd"/>
      <w:r w:rsidRPr="00DF5D5F">
        <w:rPr>
          <w:i/>
        </w:rPr>
        <w:t xml:space="preserve"> be allowed to examine the materials in any event.</w:t>
      </w:r>
      <w:r w:rsidR="00DF5D5F">
        <w:t xml:space="preserve"> (</w:t>
      </w:r>
      <w:proofErr w:type="gramStart"/>
      <w:r w:rsidR="00DF5D5F">
        <w:t>emphasis</w:t>
      </w:r>
      <w:proofErr w:type="gramEnd"/>
      <w:r w:rsidR="00DF5D5F">
        <w:t xml:space="preserve"> adde</w:t>
      </w:r>
      <w:r w:rsidR="00B16A2C">
        <w:t>d)</w:t>
      </w:r>
    </w:p>
    <w:p w:rsidR="00C03EC4" w:rsidRDefault="00C03EC4" w:rsidP="00C03EC4">
      <w:pPr>
        <w:ind w:left="600" w:right="600"/>
        <w:jc w:val="both"/>
      </w:pPr>
    </w:p>
    <w:p w:rsidR="004C741C" w:rsidRPr="001C2E1B" w:rsidRDefault="00110F62" w:rsidP="00DE4EC6">
      <w:pPr>
        <w:spacing w:line="480" w:lineRule="auto"/>
        <w:rPr>
          <w:color w:val="FF0000"/>
        </w:rPr>
      </w:pPr>
      <w:proofErr w:type="gramStart"/>
      <w:r>
        <w:rPr>
          <w:i/>
        </w:rPr>
        <w:t>Public Citizen, id.</w:t>
      </w:r>
      <w:proofErr w:type="gramEnd"/>
      <w:r>
        <w:rPr>
          <w:i/>
        </w:rPr>
        <w:t xml:space="preserve"> </w:t>
      </w:r>
      <w:proofErr w:type="gramStart"/>
      <w:r>
        <w:t>at</w:t>
      </w:r>
      <w:proofErr w:type="gramEnd"/>
      <w:r>
        <w:t xml:space="preserve"> </w:t>
      </w:r>
      <w:r w:rsidR="009D5804">
        <w:t xml:space="preserve">858 U.S. 789, quoting </w:t>
      </w:r>
      <w:r w:rsidR="009D5804">
        <w:rPr>
          <w:i/>
        </w:rPr>
        <w:t>In re "Agent Orange" Product Liability Litigation</w:t>
      </w:r>
      <w:r w:rsidR="00F00FC0">
        <w:t>, 821 F.2d 139, 145-146 (2nd Cir.), cert. denied, 484 U.S.</w:t>
      </w:r>
      <w:r w:rsidR="00E2117D">
        <w:t xml:space="preserve"> 953, 108 S. 344, 98 L. Ed. 370 (1987)</w:t>
      </w:r>
      <w:r w:rsidR="00B16A2C">
        <w:t>.</w:t>
      </w:r>
      <w:r w:rsidR="004C741C">
        <w:t xml:space="preserve">  </w:t>
      </w:r>
      <w:r w:rsidR="00EF53C4">
        <w:t>See also</w:t>
      </w:r>
      <w:r w:rsidR="0066078C" w:rsidRPr="001C2E1B">
        <w:t xml:space="preserve"> </w:t>
      </w:r>
      <w:r w:rsidR="00EF53C4" w:rsidRPr="001C2E1B">
        <w:rPr>
          <w:i/>
          <w:iCs/>
        </w:rPr>
        <w:t>Jepson, Inc. v. Makita Elec. Works, Ltd., 30 F.3d 854, 858 (7th Cir. 1994)</w:t>
      </w:r>
      <w:r w:rsidR="00EF53C4">
        <w:rPr>
          <w:i/>
          <w:iCs/>
        </w:rPr>
        <w:t xml:space="preserve"> (</w:t>
      </w:r>
      <w:r w:rsidR="0066078C" w:rsidRPr="001C2E1B">
        <w:t>"Absent a protective order, parties to a lawsuit may disseminate materials obtained during discovery as they see fit."</w:t>
      </w:r>
      <w:r w:rsidR="00EF53C4">
        <w:t>)</w:t>
      </w:r>
      <w:r w:rsidR="0066078C" w:rsidRPr="00995176">
        <w:t xml:space="preserve"> </w:t>
      </w:r>
    </w:p>
    <w:p w:rsidR="00D77600" w:rsidRDefault="004C741C" w:rsidP="00DE4EC6">
      <w:pPr>
        <w:spacing w:line="480" w:lineRule="auto"/>
      </w:pPr>
      <w:r>
        <w:tab/>
        <w:t>Because, to this point, there has been no protective order in this case</w:t>
      </w:r>
      <w:r w:rsidR="0000454C">
        <w:t>, no "good caus</w:t>
      </w:r>
      <w:r w:rsidR="007D4343">
        <w:t>e" had</w:t>
      </w:r>
      <w:r w:rsidR="0000454C">
        <w:t xml:space="preserve"> been shown for limiting dissemination of the Stephan transcript.  Therefore, under the rationales of the </w:t>
      </w:r>
      <w:r w:rsidR="0043367E">
        <w:t xml:space="preserve">Supreme Court and the </w:t>
      </w:r>
      <w:r w:rsidR="0000454C">
        <w:t>First</w:t>
      </w:r>
      <w:r w:rsidR="0043367E">
        <w:t>,</w:t>
      </w:r>
      <w:r w:rsidR="0000454C">
        <w:t xml:space="preserve"> </w:t>
      </w:r>
      <w:r w:rsidR="00274CF5">
        <w:t xml:space="preserve">Second and Seventh </w:t>
      </w:r>
      <w:r w:rsidR="0000454C">
        <w:t>Courts of Appeals</w:t>
      </w:r>
      <w:r w:rsidR="004F6A5B">
        <w:t>, there has been no limit upon Defendant's right to share that transcript with other lawyers defe</w:t>
      </w:r>
      <w:r w:rsidR="002F03F7">
        <w:t>nding homeowners in foreclosure cases</w:t>
      </w:r>
      <w:r w:rsidR="004F6A5B">
        <w:t>.</w:t>
      </w:r>
      <w:r w:rsidR="00ED3CCB">
        <w:t xml:space="preserve"> </w:t>
      </w:r>
      <w:r w:rsidR="00692AB7">
        <w:t>GMAC does not cite one sin</w:t>
      </w:r>
      <w:r w:rsidR="007D4343">
        <w:t xml:space="preserve">gle Rule of Civil Procedure, </w:t>
      </w:r>
      <w:r w:rsidR="00692AB7">
        <w:t>one single Rule of Professional Conduct</w:t>
      </w:r>
      <w:r w:rsidR="008E7187">
        <w:t xml:space="preserve">, </w:t>
      </w:r>
      <w:r w:rsidR="002F03F7">
        <w:t>one statute, and not even one</w:t>
      </w:r>
      <w:r w:rsidR="00AD00A0">
        <w:t xml:space="preserve"> single court decision that stands for its proposition that a party is limited in </w:t>
      </w:r>
      <w:r w:rsidR="00654F72">
        <w:t>disseminating</w:t>
      </w:r>
      <w:r w:rsidR="00AD00A0">
        <w:t xml:space="preserve"> pre-trial discovery materials in the absence of a protective order.</w:t>
      </w:r>
      <w:r w:rsidR="00654F72">
        <w:t xml:space="preserve">  There is no </w:t>
      </w:r>
      <w:r w:rsidR="008E7187">
        <w:t>such precedent.</w:t>
      </w:r>
      <w:r w:rsidR="002C57C1">
        <w:t xml:space="preserve">  Defendant's Counsel's actions</w:t>
      </w:r>
      <w:r w:rsidR="00D22CE4">
        <w:t xml:space="preserve"> h</w:t>
      </w:r>
      <w:r w:rsidR="008E7187">
        <w:t xml:space="preserve">ave not been "inappropriate" </w:t>
      </w:r>
      <w:r w:rsidR="00D22CE4">
        <w:t>or "improper" in any respect, and therefore, GMAC is not entitled to any award of fees for the bringing of this motion</w:t>
      </w:r>
      <w:r w:rsidR="008073A8">
        <w:t xml:space="preserve">.  </w:t>
      </w:r>
    </w:p>
    <w:p w:rsidR="00087D2C" w:rsidRDefault="00087D2C" w:rsidP="00D77600">
      <w:pPr>
        <w:spacing w:after="200"/>
      </w:pPr>
      <w:r>
        <w:rPr>
          <w:b/>
        </w:rPr>
        <w:t xml:space="preserve">II.  THE PLAINTIFF AND GMAC MORTGAGE, LLC HAVE SHOWN NO GOOD CAUSE FOR THE ISSUANCE OF A PROTECTIVE ORDER. </w:t>
      </w:r>
    </w:p>
    <w:p w:rsidR="00015077" w:rsidRDefault="00087D2C" w:rsidP="00DE4EC6">
      <w:pPr>
        <w:spacing w:line="480" w:lineRule="auto"/>
      </w:pPr>
      <w:r>
        <w:tab/>
        <w:t>After having sat on its hands</w:t>
      </w:r>
      <w:r w:rsidR="00610914">
        <w:rPr>
          <w:rStyle w:val="FootnoteReference"/>
        </w:rPr>
        <w:footnoteReference w:id="2"/>
      </w:r>
      <w:r w:rsidR="00D77600">
        <w:t>, GMAC belatedly</w:t>
      </w:r>
      <w:r w:rsidR="005D2DDD">
        <w:t xml:space="preserve"> seeks a </w:t>
      </w:r>
      <w:r w:rsidR="009770E9">
        <w:t xml:space="preserve">protective order under </w:t>
      </w:r>
      <w:proofErr w:type="spellStart"/>
      <w:r w:rsidR="009770E9">
        <w:t>M.R.Civ.</w:t>
      </w:r>
      <w:r w:rsidR="005D2DDD">
        <w:t>P</w:t>
      </w:r>
      <w:proofErr w:type="spellEnd"/>
      <w:r w:rsidR="005D2DDD">
        <w:t xml:space="preserve">. </w:t>
      </w:r>
      <w:proofErr w:type="gramStart"/>
      <w:r w:rsidR="005D2DDD">
        <w:t>26(c).</w:t>
      </w:r>
      <w:proofErr w:type="gramEnd"/>
      <w:r w:rsidR="00AD5456">
        <w:t xml:space="preserve">  Under that Rule a protective order is permitted, but only "for good cause shown"</w:t>
      </w:r>
      <w:r w:rsidR="007B42A8">
        <w:t xml:space="preserve">. Not only has GMAC failed to show "good cause", it has failed to show </w:t>
      </w:r>
      <w:r w:rsidR="007B42A8" w:rsidRPr="00E94EC0">
        <w:rPr>
          <w:i/>
        </w:rPr>
        <w:t>any cause</w:t>
      </w:r>
      <w:r w:rsidR="00DC1E2C">
        <w:t xml:space="preserve"> </w:t>
      </w:r>
      <w:r w:rsidR="00015077">
        <w:t>because</w:t>
      </w:r>
      <w:r w:rsidR="00DC1E2C">
        <w:t xml:space="preserve"> it has provided no</w:t>
      </w:r>
      <w:r w:rsidR="007B42A8">
        <w:t xml:space="preserve"> affidavits or other</w:t>
      </w:r>
      <w:r w:rsidR="00D26C13">
        <w:t xml:space="preserve"> evidence to support its claims.  </w:t>
      </w:r>
    </w:p>
    <w:p w:rsidR="00565CC0" w:rsidRPr="00FA2CBF" w:rsidRDefault="00015077" w:rsidP="004F6381">
      <w:pPr>
        <w:spacing w:line="480" w:lineRule="auto"/>
      </w:pPr>
      <w:r>
        <w:tab/>
      </w:r>
      <w:r w:rsidR="00D26C13">
        <w:t>GMAC</w:t>
      </w:r>
      <w:r w:rsidR="00DC1E2C">
        <w:t xml:space="preserve"> cites only three cases to support its request for protective order.  In both</w:t>
      </w:r>
      <w:r w:rsidR="00001CAC">
        <w:t xml:space="preserve"> </w:t>
      </w:r>
      <w:r w:rsidR="00001CAC">
        <w:rPr>
          <w:i/>
        </w:rPr>
        <w:t xml:space="preserve">Seattle Times Co. v. </w:t>
      </w:r>
      <w:proofErr w:type="spellStart"/>
      <w:r w:rsidR="00001CAC">
        <w:rPr>
          <w:i/>
        </w:rPr>
        <w:t>Rhinehart</w:t>
      </w:r>
      <w:proofErr w:type="spellEnd"/>
      <w:r w:rsidR="00001CAC">
        <w:t xml:space="preserve">, </w:t>
      </w:r>
      <w:r w:rsidR="00001CAC">
        <w:rPr>
          <w:i/>
        </w:rPr>
        <w:t>id</w:t>
      </w:r>
      <w:proofErr w:type="gramStart"/>
      <w:r w:rsidR="00001CAC">
        <w:rPr>
          <w:i/>
        </w:rPr>
        <w:t>.,</w:t>
      </w:r>
      <w:proofErr w:type="gramEnd"/>
      <w:r w:rsidR="00001CAC">
        <w:rPr>
          <w:i/>
        </w:rPr>
        <w:t xml:space="preserve"> </w:t>
      </w:r>
      <w:r w:rsidR="00001CAC">
        <w:t xml:space="preserve">and </w:t>
      </w:r>
      <w:r w:rsidR="005C0845">
        <w:rPr>
          <w:i/>
        </w:rPr>
        <w:t xml:space="preserve">Baker v. </w:t>
      </w:r>
      <w:proofErr w:type="spellStart"/>
      <w:r w:rsidR="005C0845">
        <w:rPr>
          <w:i/>
        </w:rPr>
        <w:t>Buffenbarger</w:t>
      </w:r>
      <w:proofErr w:type="spellEnd"/>
      <w:r w:rsidR="005C0845">
        <w:t xml:space="preserve">, 2004 U.S. </w:t>
      </w:r>
      <w:r w:rsidR="0077440E">
        <w:t xml:space="preserve">Dist. </w:t>
      </w:r>
      <w:r w:rsidR="005C0845">
        <w:t>LEXIS 19083</w:t>
      </w:r>
      <w:r w:rsidR="0077440E">
        <w:t xml:space="preserve"> (D. N.D.</w:t>
      </w:r>
      <w:r w:rsidR="00577013">
        <w:t xml:space="preserve"> Ill, 2004) the courts considered</w:t>
      </w:r>
      <w:r w:rsidR="0077440E">
        <w:t xml:space="preserve"> the granting of protective orders, but only after having </w:t>
      </w:r>
      <w:r w:rsidR="00B30C41">
        <w:t>received</w:t>
      </w:r>
      <w:r w:rsidR="0077440E">
        <w:t xml:space="preserve"> </w:t>
      </w:r>
      <w:r w:rsidR="0077440E" w:rsidRPr="00E94EC0">
        <w:rPr>
          <w:i/>
        </w:rPr>
        <w:t>affidavits</w:t>
      </w:r>
      <w:r w:rsidR="0077440E">
        <w:t xml:space="preserve"> showing the</w:t>
      </w:r>
      <w:r w:rsidR="009770E9">
        <w:t xml:space="preserve"> claimed</w:t>
      </w:r>
      <w:r w:rsidR="00B30C41">
        <w:t xml:space="preserve"> "good cause".  It is not possible to determine</w:t>
      </w:r>
      <w:r w:rsidR="00A30C94">
        <w:t xml:space="preserve"> what evidence was presented to support the protective order under consideration in </w:t>
      </w:r>
      <w:proofErr w:type="spellStart"/>
      <w:r w:rsidR="00A30C94">
        <w:rPr>
          <w:i/>
        </w:rPr>
        <w:t>Damiano</w:t>
      </w:r>
      <w:proofErr w:type="spellEnd"/>
      <w:r w:rsidR="00A30C94">
        <w:rPr>
          <w:i/>
        </w:rPr>
        <w:t xml:space="preserve"> v. Sony Music</w:t>
      </w:r>
      <w:r w:rsidR="00CA078F">
        <w:t>, 2000 U.S. Dist. LEXIS 16670 (D. N.J. 2000)</w:t>
      </w:r>
      <w:r>
        <w:t>.</w:t>
      </w:r>
      <w:r w:rsidR="004D6DBF">
        <w:t xml:space="preserve"> Affidavits are required.  See</w:t>
      </w:r>
      <w:r w:rsidR="007C07BE">
        <w:t xml:space="preserve"> </w:t>
      </w:r>
      <w:r w:rsidR="007C07BE">
        <w:rPr>
          <w:i/>
        </w:rPr>
        <w:t>Easton Sports, Inc. v. Warrior Lacrosse, Inc.</w:t>
      </w:r>
      <w:proofErr w:type="gramStart"/>
      <w:r w:rsidR="007C07BE">
        <w:rPr>
          <w:i/>
        </w:rPr>
        <w:t xml:space="preserve">, </w:t>
      </w:r>
      <w:r w:rsidR="007C07BE">
        <w:t xml:space="preserve"> 2006</w:t>
      </w:r>
      <w:proofErr w:type="gramEnd"/>
      <w:r w:rsidR="007C07BE">
        <w:t xml:space="preserve"> U.S. Dist. LEXIS 96358 (</w:t>
      </w:r>
      <w:r w:rsidR="00443AE4">
        <w:t xml:space="preserve">E.D., So. Div., Mich.) ("Where a business is the party seeking protection, it will have to show that disclosure would cause significant harm to its </w:t>
      </w:r>
      <w:r w:rsidR="00FA2CBF">
        <w:t>competitive</w:t>
      </w:r>
      <w:r w:rsidR="00443AE4">
        <w:t xml:space="preserve"> and financial </w:t>
      </w:r>
      <w:r w:rsidR="00FA2CBF">
        <w:t>position</w:t>
      </w:r>
      <w:r w:rsidR="00443AE4">
        <w:t xml:space="preserve">.  That showing requires </w:t>
      </w:r>
      <w:r w:rsidR="00BD5E66" w:rsidRPr="00E73826">
        <w:t xml:space="preserve">specific </w:t>
      </w:r>
      <w:r w:rsidR="00FA2CBF" w:rsidRPr="00E73826">
        <w:t>demonstrations</w:t>
      </w:r>
      <w:r w:rsidR="00BD5E66" w:rsidRPr="00E73826">
        <w:t xml:space="preserve"> of fact</w:t>
      </w:r>
      <w:r w:rsidR="00BD5E66">
        <w:t xml:space="preserve">, supported where possible </w:t>
      </w:r>
      <w:r w:rsidR="00BD5E66" w:rsidRPr="00B47A0B">
        <w:rPr>
          <w:i/>
        </w:rPr>
        <w:t>by Affidavit</w:t>
      </w:r>
      <w:r w:rsidR="00BD5E66">
        <w:t xml:space="preserve"> and </w:t>
      </w:r>
      <w:r w:rsidR="00BD5E66" w:rsidRPr="00990CC7">
        <w:t xml:space="preserve">concrete examples rather than broad, </w:t>
      </w:r>
      <w:proofErr w:type="spellStart"/>
      <w:r w:rsidR="00BD5E66" w:rsidRPr="00990CC7">
        <w:t>conclusor</w:t>
      </w:r>
      <w:r w:rsidR="00FA2CBF" w:rsidRPr="00990CC7">
        <w:t>y</w:t>
      </w:r>
      <w:proofErr w:type="spellEnd"/>
      <w:r w:rsidR="00BD5E66" w:rsidRPr="00990CC7">
        <w:t xml:space="preserve"> allegations of potential harm</w:t>
      </w:r>
      <w:r w:rsidR="00FA2CBF" w:rsidRPr="00990CC7">
        <w:t>.</w:t>
      </w:r>
      <w:r w:rsidR="00FA2CBF">
        <w:t>)</w:t>
      </w:r>
      <w:r w:rsidR="00FA2CBF">
        <w:rPr>
          <w:i/>
        </w:rPr>
        <w:t xml:space="preserve"> </w:t>
      </w:r>
      <w:r w:rsidR="00FA2CBF">
        <w:t>(</w:t>
      </w:r>
      <w:proofErr w:type="gramStart"/>
      <w:r w:rsidR="00FA2CBF">
        <w:t>emphasis</w:t>
      </w:r>
      <w:proofErr w:type="gramEnd"/>
      <w:r w:rsidR="00FA2CBF">
        <w:t xml:space="preserve"> added)</w:t>
      </w:r>
    </w:p>
    <w:p w:rsidR="00AB0368" w:rsidRDefault="00565CC0" w:rsidP="00DE4EC6">
      <w:pPr>
        <w:spacing w:line="480" w:lineRule="auto"/>
      </w:pPr>
      <w:r>
        <w:tab/>
        <w:t xml:space="preserve">The "good cause" standard is best </w:t>
      </w:r>
      <w:r w:rsidR="00891040">
        <w:t>enunciated</w:t>
      </w:r>
      <w:r>
        <w:t xml:space="preserve"> in</w:t>
      </w:r>
      <w:r w:rsidR="00AF0D40">
        <w:t xml:space="preserve"> </w:t>
      </w:r>
      <w:proofErr w:type="spellStart"/>
      <w:r w:rsidR="00AF0D40">
        <w:rPr>
          <w:i/>
        </w:rPr>
        <w:t>Cipollone</w:t>
      </w:r>
      <w:proofErr w:type="spellEnd"/>
      <w:r w:rsidR="00AF0D40">
        <w:rPr>
          <w:i/>
        </w:rPr>
        <w:t xml:space="preserve"> v. </w:t>
      </w:r>
      <w:proofErr w:type="spellStart"/>
      <w:r w:rsidR="00AF0D40">
        <w:rPr>
          <w:i/>
        </w:rPr>
        <w:t>Ligget</w:t>
      </w:r>
      <w:proofErr w:type="spellEnd"/>
      <w:r w:rsidR="00AF0D40">
        <w:rPr>
          <w:i/>
        </w:rPr>
        <w:t xml:space="preserve"> Group, Inc., </w:t>
      </w:r>
      <w:r w:rsidR="00AF0D40">
        <w:t>785 F.2d 1108 (</w:t>
      </w:r>
      <w:r w:rsidR="00AB0368">
        <w:t>3rd Cir. 1986) where the court stated:</w:t>
      </w:r>
    </w:p>
    <w:p w:rsidR="002D6486" w:rsidRDefault="0038073C" w:rsidP="00756B96">
      <w:pPr>
        <w:spacing w:before="120"/>
        <w:ind w:left="576" w:right="576"/>
        <w:jc w:val="both"/>
      </w:pPr>
      <w:proofErr w:type="gramStart"/>
      <w:r>
        <w:rPr>
          <w:i/>
          <w:iCs/>
        </w:rPr>
        <w:t>. .</w:t>
      </w:r>
      <w:proofErr w:type="gramEnd"/>
      <w:r>
        <w:rPr>
          <w:i/>
          <w:iCs/>
        </w:rPr>
        <w:t xml:space="preserve"> . </w:t>
      </w:r>
      <w:r w:rsidR="00AB0368" w:rsidRPr="00756B96">
        <w:rPr>
          <w:i/>
          <w:iCs/>
        </w:rPr>
        <w:t>Rule 26(c)</w:t>
      </w:r>
      <w:r w:rsidR="00AB0368" w:rsidRPr="00756B96">
        <w:t xml:space="preserve"> places the burden of persuasion on the party seeking the protective order. To overcome the presumption, the party seeking the protective order must show good cause by demonstrating a particular need for protection. Broad allegations of harm, unsubstantiated by specific examples or articulated reasoning, do not satisfy the </w:t>
      </w:r>
      <w:r w:rsidR="00AB0368" w:rsidRPr="00756B96">
        <w:rPr>
          <w:i/>
          <w:iCs/>
        </w:rPr>
        <w:t>Rule 26(c)</w:t>
      </w:r>
      <w:r w:rsidR="00AB0368" w:rsidRPr="00756B96">
        <w:t xml:space="preserve"> test. </w:t>
      </w:r>
      <w:r w:rsidR="00AB0368" w:rsidRPr="00756B96">
        <w:rPr>
          <w:i/>
          <w:iCs/>
        </w:rPr>
        <w:t>See United States v. Garrett, 571 F.2d 1323, 1326, n. 3 (5th Cir. 1978)</w:t>
      </w:r>
      <w:r w:rsidR="00AB0368" w:rsidRPr="00756B96">
        <w:t xml:space="preserve"> (requiring "a particular and specific demonstration of f</w:t>
      </w:r>
      <w:r w:rsidR="002C57C5">
        <w:t xml:space="preserve">act as distinguished from </w:t>
      </w:r>
      <w:r w:rsidR="00AB0368" w:rsidRPr="00756B96">
        <w:t xml:space="preserve">  stereotyped and </w:t>
      </w:r>
      <w:proofErr w:type="spellStart"/>
      <w:r w:rsidR="00AB0368" w:rsidRPr="00756B96">
        <w:t>conclusory</w:t>
      </w:r>
      <w:proofErr w:type="spellEnd"/>
      <w:r w:rsidR="00AB0368" w:rsidRPr="00756B96">
        <w:t xml:space="preserve"> statements"); </w:t>
      </w:r>
      <w:r w:rsidR="00AB0368" w:rsidRPr="00756B96">
        <w:rPr>
          <w:i/>
          <w:iCs/>
        </w:rPr>
        <w:t xml:space="preserve">General Dynamics Corp. v. </w:t>
      </w:r>
      <w:proofErr w:type="spellStart"/>
      <w:r w:rsidR="00AB0368" w:rsidRPr="00756B96">
        <w:rPr>
          <w:i/>
          <w:iCs/>
        </w:rPr>
        <w:t>Selb</w:t>
      </w:r>
      <w:proofErr w:type="spellEnd"/>
      <w:r w:rsidR="00AB0368" w:rsidRPr="00756B96">
        <w:rPr>
          <w:i/>
          <w:iCs/>
        </w:rPr>
        <w:t xml:space="preserve"> Mfg. Corp., 481 F.2d 1204, 1212 (8th Cir. 1973)</w:t>
      </w:r>
      <w:r w:rsidR="00AB0368" w:rsidRPr="00756B96">
        <w:t xml:space="preserve">, </w:t>
      </w:r>
      <w:r w:rsidR="00AB0368" w:rsidRPr="00756B96">
        <w:rPr>
          <w:i/>
          <w:iCs/>
        </w:rPr>
        <w:t>cert. denied</w:t>
      </w:r>
      <w:r w:rsidR="00AB0368" w:rsidRPr="00756B96">
        <w:t xml:space="preserve">, </w:t>
      </w:r>
      <w:r w:rsidR="00AB0368" w:rsidRPr="00756B96">
        <w:rPr>
          <w:i/>
          <w:iCs/>
        </w:rPr>
        <w:t>414 U.S. 1162, 94 S. Ct. 926, 39 L. Ed. 2d 116 (1974)</w:t>
      </w:r>
      <w:r w:rsidR="00AB0368" w:rsidRPr="00756B96">
        <w:t xml:space="preserve">; 8 C. Wright &amp; A. Miller, </w:t>
      </w:r>
      <w:r w:rsidR="00AB0368" w:rsidRPr="00756B96">
        <w:rPr>
          <w:i/>
          <w:iCs/>
        </w:rPr>
        <w:t>Federal Practice and Procedure</w:t>
      </w:r>
      <w:r w:rsidR="00AB0368" w:rsidRPr="00756B96">
        <w:t xml:space="preserve"> ß 2035 (1970 &amp; Supp. 1985). Moreover, the harm must be significant, not a mere trifle. </w:t>
      </w:r>
      <w:r w:rsidR="00AB0368" w:rsidRPr="00756B96">
        <w:rPr>
          <w:i/>
          <w:iCs/>
        </w:rPr>
        <w:t>See, e.g., Joy v. North, 692 F.2d 880, 894 (2d Cir. 1982)</w:t>
      </w:r>
      <w:r w:rsidR="00AB0368" w:rsidRPr="00756B96">
        <w:t xml:space="preserve"> (refusing protective order where proponent's only argument in its favor was the broad allegations that the disclosure of certain information would "injure the bank in the industry and local community"), </w:t>
      </w:r>
      <w:proofErr w:type="gramStart"/>
      <w:r w:rsidR="00AB0368" w:rsidRPr="00756B96">
        <w:rPr>
          <w:i/>
          <w:iCs/>
        </w:rPr>
        <w:t>cert</w:t>
      </w:r>
      <w:proofErr w:type="gramEnd"/>
      <w:r w:rsidR="00AB0368" w:rsidRPr="00756B96">
        <w:rPr>
          <w:i/>
          <w:iCs/>
        </w:rPr>
        <w:t xml:space="preserve">. denied sub nom.  </w:t>
      </w:r>
      <w:proofErr w:type="spellStart"/>
      <w:proofErr w:type="gramStart"/>
      <w:r w:rsidR="00AB0368" w:rsidRPr="00756B96">
        <w:rPr>
          <w:i/>
          <w:iCs/>
        </w:rPr>
        <w:t>Citytrust</w:t>
      </w:r>
      <w:proofErr w:type="spellEnd"/>
      <w:r w:rsidR="00AB0368" w:rsidRPr="00756B96">
        <w:rPr>
          <w:i/>
          <w:iCs/>
        </w:rPr>
        <w:t xml:space="preserve"> v. Joy, 460 U.S. 1051, 75 L. Ed. 2d 930, 103 S. Ct. 1498 (1983)</w:t>
      </w:r>
      <w:r w:rsidR="00AB0368" w:rsidRPr="00756B96">
        <w:t>.</w:t>
      </w:r>
      <w:proofErr w:type="gramEnd"/>
      <w:r w:rsidR="00AB0368" w:rsidRPr="006D656F">
        <w:t xml:space="preserve"> </w:t>
      </w:r>
    </w:p>
    <w:p w:rsidR="00D2219A" w:rsidRDefault="002D6486" w:rsidP="002C57C5">
      <w:pPr>
        <w:spacing w:before="120" w:line="480" w:lineRule="auto"/>
      </w:pPr>
      <w:proofErr w:type="spellStart"/>
      <w:r>
        <w:rPr>
          <w:i/>
        </w:rPr>
        <w:t>Cipollone</w:t>
      </w:r>
      <w:proofErr w:type="spellEnd"/>
      <w:r>
        <w:rPr>
          <w:i/>
        </w:rPr>
        <w:t>, id</w:t>
      </w:r>
      <w:proofErr w:type="gramStart"/>
      <w:r>
        <w:rPr>
          <w:i/>
        </w:rPr>
        <w:t>.,</w:t>
      </w:r>
      <w:proofErr w:type="gramEnd"/>
      <w:r>
        <w:rPr>
          <w:i/>
        </w:rPr>
        <w:t xml:space="preserve"> </w:t>
      </w:r>
      <w:r>
        <w:t xml:space="preserve">at 785 U.S. </w:t>
      </w:r>
      <w:r w:rsidR="00126A92">
        <w:t>1121.   The Seventh Circuit adds that "(</w:t>
      </w:r>
      <w:proofErr w:type="gramStart"/>
      <w:r w:rsidR="00126A92">
        <w:t>m)</w:t>
      </w:r>
      <w:proofErr w:type="spellStart"/>
      <w:r w:rsidR="00126A92">
        <w:t>ost</w:t>
      </w:r>
      <w:proofErr w:type="spellEnd"/>
      <w:proofErr w:type="gramEnd"/>
      <w:r w:rsidR="00126A92">
        <w:t xml:space="preserve"> cases endorse the presumption of public access to </w:t>
      </w:r>
      <w:r w:rsidR="00D2219A">
        <w:t>discovery</w:t>
      </w:r>
      <w:r w:rsidR="00126A92">
        <w:t xml:space="preserve"> materials." </w:t>
      </w:r>
      <w:r w:rsidR="007C76F3">
        <w:rPr>
          <w:i/>
        </w:rPr>
        <w:t xml:space="preserve">Citizens First Nat'l Bank v. </w:t>
      </w:r>
      <w:r w:rsidR="002C57C5">
        <w:rPr>
          <w:i/>
        </w:rPr>
        <w:t>Cincinnati</w:t>
      </w:r>
      <w:r w:rsidR="006C47F8">
        <w:rPr>
          <w:i/>
        </w:rPr>
        <w:t xml:space="preserve"> Ins. Co., </w:t>
      </w:r>
      <w:r w:rsidR="006C47F8">
        <w:t>178 F.3d 943, 946 (7th Cir. 1999).</w:t>
      </w:r>
    </w:p>
    <w:p w:rsidR="0052227A" w:rsidRDefault="00D2219A" w:rsidP="002C57C5">
      <w:pPr>
        <w:spacing w:before="120" w:line="480" w:lineRule="auto"/>
      </w:pPr>
      <w:r>
        <w:tab/>
        <w:t xml:space="preserve">In </w:t>
      </w:r>
      <w:proofErr w:type="spellStart"/>
      <w:r w:rsidR="00202B4F">
        <w:rPr>
          <w:i/>
        </w:rPr>
        <w:t>Ci</w:t>
      </w:r>
      <w:r>
        <w:rPr>
          <w:i/>
        </w:rPr>
        <w:t>po</w:t>
      </w:r>
      <w:r w:rsidR="00202B4F">
        <w:rPr>
          <w:i/>
        </w:rPr>
        <w:t>l</w:t>
      </w:r>
      <w:r w:rsidR="006B0E9B">
        <w:rPr>
          <w:i/>
        </w:rPr>
        <w:t>lo</w:t>
      </w:r>
      <w:r>
        <w:rPr>
          <w:i/>
        </w:rPr>
        <w:t>ne</w:t>
      </w:r>
      <w:proofErr w:type="spellEnd"/>
      <w:r w:rsidR="00DE7E19">
        <w:t>, the court was also dealing with a claim of corporate embarrassment of</w:t>
      </w:r>
      <w:r w:rsidR="00EA7B99">
        <w:t xml:space="preserve"> the sort asserted by GMAC here and made the following statements:</w:t>
      </w:r>
    </w:p>
    <w:p w:rsidR="009845E8" w:rsidRDefault="008571D1" w:rsidP="008571D1">
      <w:pPr>
        <w:spacing w:before="120"/>
        <w:ind w:left="576" w:right="576"/>
        <w:jc w:val="both"/>
      </w:pPr>
      <w:proofErr w:type="gramStart"/>
      <w:r>
        <w:t>. .</w:t>
      </w:r>
      <w:proofErr w:type="gramEnd"/>
      <w:r>
        <w:t xml:space="preserve"> . because release </w:t>
      </w:r>
      <w:r w:rsidR="0052227A" w:rsidRPr="0052227A">
        <w:t xml:space="preserve">of information not intended by the writer to be for public consumption will almost always have some tendency to embarrass, an applicant for a protective order whose chief concern is embarrassment must demonstrate that the embarrassment will be particularly serious. As embarrassment is usually thought of as a </w:t>
      </w:r>
      <w:proofErr w:type="spellStart"/>
      <w:r w:rsidR="0052227A" w:rsidRPr="0052227A">
        <w:t>nonmonetizable</w:t>
      </w:r>
      <w:proofErr w:type="spellEnd"/>
      <w:r w:rsidR="0052227A" w:rsidRPr="0052227A">
        <w:t xml:space="preserve"> harm to individuals, it may be especially difficult for a business enterprise, whose primary measure of well-being is presumably </w:t>
      </w:r>
      <w:proofErr w:type="spellStart"/>
      <w:r w:rsidR="0052227A" w:rsidRPr="0052227A">
        <w:t>monetizable</w:t>
      </w:r>
      <w:proofErr w:type="spellEnd"/>
      <w:r w:rsidR="0052227A" w:rsidRPr="0052227A">
        <w:t xml:space="preserve">, to argue for a protective order on this ground. </w:t>
      </w:r>
      <w:r w:rsidR="0052227A" w:rsidRPr="0052227A">
        <w:rPr>
          <w:i/>
          <w:iCs/>
        </w:rPr>
        <w:t>Cf</w:t>
      </w:r>
      <w:proofErr w:type="gramStart"/>
      <w:r w:rsidR="0052227A" w:rsidRPr="0052227A">
        <w:rPr>
          <w:i/>
          <w:iCs/>
        </w:rPr>
        <w:t>.  Joy</w:t>
      </w:r>
      <w:proofErr w:type="gramEnd"/>
      <w:r w:rsidR="0052227A" w:rsidRPr="0052227A">
        <w:rPr>
          <w:i/>
          <w:iCs/>
        </w:rPr>
        <w:t xml:space="preserve"> v. North, supra</w:t>
      </w:r>
      <w:r w:rsidR="005866A4">
        <w:rPr>
          <w:i/>
          <w:iCs/>
        </w:rPr>
        <w:t xml:space="preserve"> </w:t>
      </w:r>
      <w:r w:rsidR="00145E2E">
        <w:rPr>
          <w:iCs/>
        </w:rPr>
        <w:t>[</w:t>
      </w:r>
      <w:proofErr w:type="spellStart"/>
      <w:r w:rsidR="005866A4">
        <w:rPr>
          <w:i/>
          <w:iCs/>
        </w:rPr>
        <w:t>Citytrust</w:t>
      </w:r>
      <w:proofErr w:type="spellEnd"/>
      <w:r w:rsidR="005866A4">
        <w:rPr>
          <w:i/>
          <w:iCs/>
        </w:rPr>
        <w:t xml:space="preserve"> v</w:t>
      </w:r>
      <w:r w:rsidR="00145E2E">
        <w:rPr>
          <w:i/>
          <w:iCs/>
        </w:rPr>
        <w:t>.</w:t>
      </w:r>
      <w:r w:rsidR="00CF7A1E">
        <w:rPr>
          <w:i/>
          <w:iCs/>
        </w:rPr>
        <w:t xml:space="preserve"> North,</w:t>
      </w:r>
      <w:r w:rsidR="00145E2E">
        <w:rPr>
          <w:i/>
          <w:iCs/>
        </w:rPr>
        <w:t xml:space="preserve"> </w:t>
      </w:r>
      <w:r w:rsidR="00CF7A1E" w:rsidRPr="00CF7A1E">
        <w:rPr>
          <w:iCs/>
        </w:rPr>
        <w:t xml:space="preserve">692 F.2d 880, 894 (2d Cir. 1982)] </w:t>
      </w:r>
      <w:r w:rsidR="0052227A" w:rsidRPr="0052227A">
        <w:t>(a protective order will not issue upon the broad allegation that disclosure will result in injury to reputation); to succeed, a business will have to show with some specificity that the embarrassment resulting from dissemination of the information would cause a significant harm to its competitive and financial position.</w:t>
      </w:r>
      <w:r w:rsidR="0052227A" w:rsidRPr="006D656F">
        <w:t xml:space="preserve"> </w:t>
      </w:r>
    </w:p>
    <w:p w:rsidR="008C70EF" w:rsidRDefault="009845E8" w:rsidP="00E2576B">
      <w:pPr>
        <w:spacing w:before="120" w:line="480" w:lineRule="auto"/>
        <w:ind w:right="576"/>
      </w:pPr>
      <w:proofErr w:type="spellStart"/>
      <w:proofErr w:type="gramStart"/>
      <w:r>
        <w:rPr>
          <w:i/>
        </w:rPr>
        <w:t>Cipollone</w:t>
      </w:r>
      <w:proofErr w:type="spellEnd"/>
      <w:r>
        <w:rPr>
          <w:i/>
        </w:rPr>
        <w:t>, id.</w:t>
      </w:r>
      <w:proofErr w:type="gramEnd"/>
      <w:r>
        <w:rPr>
          <w:i/>
        </w:rPr>
        <w:t xml:space="preserve"> </w:t>
      </w:r>
      <w:r>
        <w:t xml:space="preserve"> </w:t>
      </w:r>
      <w:proofErr w:type="gramStart"/>
      <w:r>
        <w:t>at</w:t>
      </w:r>
      <w:proofErr w:type="gramEnd"/>
      <w:r>
        <w:t xml:space="preserve"> 178 F.3d at </w:t>
      </w:r>
      <w:r w:rsidR="00614BD3">
        <w:t xml:space="preserve">1121.  </w:t>
      </w:r>
      <w:r w:rsidR="000F63F6">
        <w:t xml:space="preserve">Even if the </w:t>
      </w:r>
      <w:r w:rsidR="00202B4F">
        <w:t>rhetoric</w:t>
      </w:r>
      <w:r w:rsidR="000F63F6">
        <w:t xml:space="preserve"> of GMAC</w:t>
      </w:r>
      <w:r w:rsidR="00B663D9">
        <w:t>'s</w:t>
      </w:r>
      <w:r w:rsidR="000F63F6">
        <w:t xml:space="preserve"> counsel in his legal memorandum could be taken as facts </w:t>
      </w:r>
      <w:r w:rsidR="00B47A0B">
        <w:t xml:space="preserve">stated </w:t>
      </w:r>
      <w:r w:rsidR="000F63F6">
        <w:t>in an affidavit, those statements are insufficient to prove</w:t>
      </w:r>
      <w:r w:rsidR="007B320B">
        <w:t xml:space="preserve"> </w:t>
      </w:r>
      <w:r w:rsidR="00B47A0B">
        <w:t xml:space="preserve">the requisite "good cause". </w:t>
      </w:r>
      <w:r w:rsidR="00CA66ED">
        <w:t xml:space="preserve">They do not show </w:t>
      </w:r>
      <w:r w:rsidR="007B320B">
        <w:t xml:space="preserve">that </w:t>
      </w:r>
      <w:r w:rsidR="004A2302">
        <w:t xml:space="preserve">the </w:t>
      </w:r>
      <w:r w:rsidR="007B320B">
        <w:t xml:space="preserve">alleged corporate </w:t>
      </w:r>
      <w:r w:rsidR="00202B4F">
        <w:t>embarrassment</w:t>
      </w:r>
      <w:r w:rsidR="007B320B">
        <w:t xml:space="preserve"> to GMAC is "particularly serious" or that it would "cause significant harm to its </w:t>
      </w:r>
      <w:r w:rsidR="00202B4F">
        <w:t>competitive</w:t>
      </w:r>
      <w:r w:rsidR="007B320B">
        <w:t xml:space="preserve"> and financial </w:t>
      </w:r>
      <w:r w:rsidR="00202B4F">
        <w:t>position</w:t>
      </w:r>
      <w:r w:rsidR="007B320B">
        <w:t>" as</w:t>
      </w:r>
      <w:r w:rsidR="00202B4F">
        <w:t xml:space="preserve"> required by the court in </w:t>
      </w:r>
      <w:proofErr w:type="spellStart"/>
      <w:r w:rsidR="004A2302">
        <w:rPr>
          <w:i/>
        </w:rPr>
        <w:t>Cipollo</w:t>
      </w:r>
      <w:r w:rsidR="00202B4F">
        <w:rPr>
          <w:i/>
        </w:rPr>
        <w:t>ne</w:t>
      </w:r>
      <w:proofErr w:type="spellEnd"/>
      <w:r w:rsidR="00202B4F">
        <w:rPr>
          <w:i/>
        </w:rPr>
        <w:t>.</w:t>
      </w:r>
      <w:r w:rsidR="00CA66ED">
        <w:t xml:space="preserve">  Any </w:t>
      </w:r>
      <w:r w:rsidR="00814026">
        <w:t>embarrassment</w:t>
      </w:r>
      <w:r w:rsidR="002E409E">
        <w:t xml:space="preserve"> to GMAC comes from the fact that the Stephan transcript reveals the </w:t>
      </w:r>
      <w:r w:rsidR="00814026">
        <w:t>fundamentally</w:t>
      </w:r>
      <w:r w:rsidR="002E409E">
        <w:t xml:space="preserve"> dishonest </w:t>
      </w:r>
      <w:r w:rsidR="00814026">
        <w:t xml:space="preserve">and contemptuous </w:t>
      </w:r>
      <w:r w:rsidR="002E409E">
        <w:t>summary judgment practices that GMAC engages in</w:t>
      </w:r>
      <w:r w:rsidR="00814026">
        <w:t xml:space="preserve">. That kind of embarrassment is not something </w:t>
      </w:r>
      <w:r w:rsidR="004A2302">
        <w:t xml:space="preserve">from which </w:t>
      </w:r>
      <w:r w:rsidR="00814026">
        <w:t>Rule 26(c) i</w:t>
      </w:r>
      <w:r w:rsidR="0058607C">
        <w:t>s designed to protect GMAC.</w:t>
      </w:r>
    </w:p>
    <w:p w:rsidR="00B669ED" w:rsidRDefault="008C70EF" w:rsidP="00DE4EC6">
      <w:pPr>
        <w:spacing w:before="120" w:line="480" w:lineRule="auto"/>
      </w:pPr>
      <w:r>
        <w:tab/>
        <w:t xml:space="preserve">As a result of the sharing of the Stephan </w:t>
      </w:r>
      <w:r w:rsidR="00A46F86">
        <w:t xml:space="preserve">transcript among foreclosure defense </w:t>
      </w:r>
      <w:r w:rsidR="009C1745">
        <w:t>counsel, GMAC may well face litiga</w:t>
      </w:r>
      <w:r w:rsidR="00A46F86">
        <w:t xml:space="preserve">tion in other cases challenging its summary judgment motions and foreclosure </w:t>
      </w:r>
      <w:r w:rsidR="009C1745">
        <w:t>judgments</w:t>
      </w:r>
      <w:r w:rsidR="00A46F86">
        <w:t xml:space="preserve"> that are based upon Stephan</w:t>
      </w:r>
      <w:r w:rsidR="009C1745">
        <w:t xml:space="preserve"> affidavits. </w:t>
      </w:r>
      <w:r w:rsidR="00516B91">
        <w:t xml:space="preserve">This is entirely appropriate.  </w:t>
      </w:r>
      <w:r w:rsidR="009C1745">
        <w:t>The Ninth Circuit</w:t>
      </w:r>
      <w:r w:rsidR="003C6FC6">
        <w:t xml:space="preserve">, citing similar holdings in the Seventh and Tenth Circuits, </w:t>
      </w:r>
      <w:r w:rsidR="009C1745">
        <w:t>has expressly held that</w:t>
      </w:r>
      <w:r w:rsidR="00197FB5">
        <w:t xml:space="preserve"> there should be a strong </w:t>
      </w:r>
      <w:r w:rsidR="00516B91">
        <w:t>bias</w:t>
      </w:r>
      <w:r w:rsidR="00197FB5">
        <w:t xml:space="preserve"> in favor of "access to discovery materials </w:t>
      </w:r>
      <w:r w:rsidR="00A33115">
        <w:t>to meet the needs of parties engaged in collateral litigation. . . Allowing the fruits of one litigation to facilitate preparation in other cases advances t</w:t>
      </w:r>
      <w:r w:rsidR="00404242">
        <w:t xml:space="preserve">he interests of judicial economy by avoiding the wasteful duplication of </w:t>
      </w:r>
      <w:r w:rsidR="00330995">
        <w:t>discovery</w:t>
      </w:r>
      <w:r w:rsidR="00404242">
        <w:t xml:space="preserve">." </w:t>
      </w:r>
      <w:r w:rsidR="00187439">
        <w:rPr>
          <w:i/>
        </w:rPr>
        <w:t>Foltz v. Ho</w:t>
      </w:r>
      <w:proofErr w:type="gramStart"/>
      <w:r w:rsidR="00187439">
        <w:rPr>
          <w:i/>
        </w:rPr>
        <w:t xml:space="preserve">, </w:t>
      </w:r>
      <w:r w:rsidR="00187439">
        <w:t xml:space="preserve"> 331</w:t>
      </w:r>
      <w:proofErr w:type="gramEnd"/>
      <w:r w:rsidR="00187439">
        <w:t xml:space="preserve"> F.3d 1122</w:t>
      </w:r>
      <w:r w:rsidR="00516B91">
        <w:t>, 1131</w:t>
      </w:r>
      <w:r w:rsidR="00187439">
        <w:t xml:space="preserve"> (9th Cir. 2003).</w:t>
      </w:r>
    </w:p>
    <w:p w:rsidR="00B669ED" w:rsidRDefault="00B669ED" w:rsidP="00B669ED">
      <w:pPr>
        <w:rPr>
          <w:b/>
        </w:rPr>
      </w:pPr>
      <w:r>
        <w:rPr>
          <w:b/>
        </w:rPr>
        <w:t>I</w:t>
      </w:r>
      <w:r w:rsidR="00FE1BCC">
        <w:rPr>
          <w:b/>
        </w:rPr>
        <w:t>II</w:t>
      </w:r>
      <w:r>
        <w:rPr>
          <w:b/>
        </w:rPr>
        <w:t>.  ALL RELIEF SOUGHT BY PLAINTIFF MUST BE DENIED.</w:t>
      </w:r>
    </w:p>
    <w:p w:rsidR="00B669ED" w:rsidRDefault="00B669ED" w:rsidP="00B669ED">
      <w:pPr>
        <w:rPr>
          <w:b/>
        </w:rPr>
      </w:pPr>
    </w:p>
    <w:p w:rsidR="00153A46" w:rsidRDefault="00B669ED" w:rsidP="004F6381">
      <w:pPr>
        <w:spacing w:line="480" w:lineRule="auto"/>
        <w:ind w:firstLine="180"/>
      </w:pPr>
      <w:r>
        <w:rPr>
          <w:b/>
        </w:rPr>
        <w:tab/>
      </w:r>
      <w:r w:rsidR="00BA543E">
        <w:t xml:space="preserve">Over its displeasure with the sharing of the Stephan transcript with other foreclosure defense counsel, GMAC </w:t>
      </w:r>
      <w:r w:rsidR="00FD1802">
        <w:t>seeks to sanction Defendant's counsel by requesting an order that he pay GMAC's fees in bringing this utterly unfounded and factually unsupported motion.</w:t>
      </w:r>
      <w:r w:rsidR="00837EFE">
        <w:t xml:space="preserve">  In addition, GMAC seeks to bar Defendant's counsel from using the Stephan transcript in any other GMAC </w:t>
      </w:r>
      <w:r w:rsidR="008942E2">
        <w:t xml:space="preserve">foreclosure case being defended by him.  This is a </w:t>
      </w:r>
      <w:r w:rsidR="00153A46">
        <w:t>blatant</w:t>
      </w:r>
      <w:r w:rsidR="008942E2">
        <w:t xml:space="preserve"> effort to disqualify </w:t>
      </w:r>
      <w:r w:rsidR="00634EFC">
        <w:t>Defendant's</w:t>
      </w:r>
      <w:r w:rsidR="008942E2">
        <w:t xml:space="preserve"> counsel from those other cases</w:t>
      </w:r>
      <w:r w:rsidR="00BD595E">
        <w:t xml:space="preserve"> by limiting his ability to provide full professional representation to his clients in those case</w:t>
      </w:r>
      <w:r w:rsidR="0058607C">
        <w:t>s</w:t>
      </w:r>
      <w:r w:rsidR="00BD595E">
        <w:t>. Because there has been nothing improper about the sharing of this transcript, there is absolutely no basis for the imposition of any sanction upon Defendant's counsel.</w:t>
      </w:r>
    </w:p>
    <w:p w:rsidR="006F100A" w:rsidRDefault="00153A46" w:rsidP="004F6381">
      <w:pPr>
        <w:spacing w:line="480" w:lineRule="auto"/>
        <w:ind w:firstLine="180"/>
      </w:pPr>
      <w:r>
        <w:tab/>
        <w:t>The GMAC motion for a protective orde</w:t>
      </w:r>
      <w:r w:rsidR="00107F71">
        <w:t xml:space="preserve">r now can be seen only as an effort to retaliate against Defendant for her exposure of GMAC's bad faith and contemptuous summary judgment practices. The fact that GMAC supplied not one single affidavit or </w:t>
      </w:r>
      <w:r w:rsidR="00BD2A9E">
        <w:t xml:space="preserve">any </w:t>
      </w:r>
      <w:r w:rsidR="00107F71">
        <w:t xml:space="preserve">other admissible evidence to support its motion can lead to no other conclusion.  </w:t>
      </w:r>
      <w:r w:rsidR="00157E44">
        <w:t xml:space="preserve">The </w:t>
      </w:r>
      <w:proofErr w:type="spellStart"/>
      <w:r w:rsidR="00157E44">
        <w:t>conclusory</w:t>
      </w:r>
      <w:proofErr w:type="spellEnd"/>
      <w:r w:rsidR="00157E44">
        <w:t xml:space="preserve"> allegations of Plaintiff's counsel, even if they had</w:t>
      </w:r>
      <w:r w:rsidR="00526A88">
        <w:t xml:space="preserve"> been supported by affidavits, d</w:t>
      </w:r>
      <w:r w:rsidR="00157E44">
        <w:t>o not prove the requisite good cause for the issuance of a protective order.</w:t>
      </w:r>
      <w:r w:rsidR="006F100A">
        <w:t xml:space="preserve"> The motion must be denied.</w:t>
      </w:r>
    </w:p>
    <w:p w:rsidR="0029089E" w:rsidRDefault="006F100A" w:rsidP="0029089E">
      <w:pPr>
        <w:ind w:firstLine="180"/>
        <w:rPr>
          <w:b/>
        </w:rPr>
      </w:pPr>
      <w:r>
        <w:rPr>
          <w:b/>
        </w:rPr>
        <w:t>IV.   DEFENDANT IS ENTITLED TO AN AWARD OF COUNSEL FEES IN DEFENDING AGAINST THE PROTECTIVE ORDER MOTION.</w:t>
      </w:r>
    </w:p>
    <w:p w:rsidR="006F100A" w:rsidRDefault="006F100A" w:rsidP="0029089E">
      <w:pPr>
        <w:ind w:firstLine="180"/>
        <w:rPr>
          <w:b/>
        </w:rPr>
      </w:pPr>
    </w:p>
    <w:p w:rsidR="00A8768D" w:rsidRDefault="006F100A" w:rsidP="004F6381">
      <w:pPr>
        <w:spacing w:line="480" w:lineRule="auto"/>
        <w:ind w:firstLine="180"/>
        <w:rPr>
          <w:b/>
        </w:rPr>
      </w:pPr>
      <w:r>
        <w:rPr>
          <w:b/>
        </w:rPr>
        <w:tab/>
      </w:r>
      <w:r w:rsidR="00897300">
        <w:t xml:space="preserve">Rule 26(c) by reference to </w:t>
      </w:r>
      <w:proofErr w:type="spellStart"/>
      <w:r w:rsidR="00897300">
        <w:t>M.R.Civ.P</w:t>
      </w:r>
      <w:proofErr w:type="spellEnd"/>
      <w:r w:rsidR="00897300">
        <w:t xml:space="preserve">. 37(a)(4) allows for awards of expenses </w:t>
      </w:r>
      <w:r w:rsidR="00D441F9">
        <w:t>on protective order motions.  The motion here is utterly unsupported as a matter of law and unproven by any affidavits.</w:t>
      </w:r>
      <w:r w:rsidR="00266720">
        <w:t xml:space="preserve"> It is an unjustified effort to increase the litigation burden of the Defendant that requires the GMAC as the moving party to pay counsel fees to counsel for Defendant for the effort required to defend this motion.</w:t>
      </w:r>
      <w:r>
        <w:rPr>
          <w:b/>
        </w:rPr>
        <w:t xml:space="preserve"> </w:t>
      </w:r>
    </w:p>
    <w:p w:rsidR="00A8768D" w:rsidRDefault="00272A05" w:rsidP="00A8768D">
      <w:r>
        <w:t xml:space="preserve"> </w:t>
      </w:r>
      <w:r>
        <w:tab/>
      </w:r>
      <w:r>
        <w:tab/>
      </w:r>
      <w:r>
        <w:tab/>
      </w:r>
      <w:r>
        <w:tab/>
      </w:r>
      <w:r>
        <w:tab/>
      </w:r>
      <w:r>
        <w:tab/>
      </w:r>
    </w:p>
    <w:p w:rsidR="00EC41EF" w:rsidRDefault="00EC41EF" w:rsidP="003F658C">
      <w:r>
        <w:t>DATED: July</w:t>
      </w:r>
      <w:r w:rsidR="00272A05">
        <w:t xml:space="preserve"> ___, 2010</w:t>
      </w:r>
    </w:p>
    <w:p w:rsidR="00272A05" w:rsidRDefault="00272A05" w:rsidP="003F658C"/>
    <w:p w:rsidR="00272A05" w:rsidRDefault="00272A05" w:rsidP="00272A05">
      <w:pPr>
        <w:tabs>
          <w:tab w:val="left" w:pos="1000"/>
          <w:tab w:val="left" w:pos="1100"/>
        </w:tabs>
      </w:pPr>
      <w:r>
        <w:tab/>
      </w:r>
      <w:r>
        <w:tab/>
      </w:r>
      <w:r>
        <w:tab/>
      </w:r>
      <w:r>
        <w:tab/>
      </w:r>
    </w:p>
    <w:p w:rsidR="00272A05" w:rsidRDefault="00272A05" w:rsidP="00272A05">
      <w:pPr>
        <w:tabs>
          <w:tab w:val="left" w:pos="1000"/>
          <w:tab w:val="left" w:pos="1100"/>
        </w:tabs>
      </w:pPr>
      <w:r>
        <w:tab/>
      </w:r>
      <w:r>
        <w:tab/>
      </w:r>
      <w:r>
        <w:tab/>
      </w:r>
      <w:r>
        <w:tab/>
      </w:r>
      <w:r>
        <w:tab/>
      </w:r>
      <w:r>
        <w:tab/>
      </w:r>
      <w:r w:rsidR="00526A88">
        <w:tab/>
      </w:r>
      <w:r w:rsidR="00526A88">
        <w:tab/>
      </w:r>
      <w:r>
        <w:t>____________________________________</w:t>
      </w:r>
    </w:p>
    <w:p w:rsidR="00272A05" w:rsidRDefault="00272A05" w:rsidP="00272A05">
      <w:pPr>
        <w:tabs>
          <w:tab w:val="left" w:pos="1000"/>
          <w:tab w:val="left" w:pos="1100"/>
        </w:tabs>
      </w:pPr>
      <w:r>
        <w:tab/>
      </w:r>
      <w:r>
        <w:tab/>
      </w:r>
      <w:r>
        <w:tab/>
      </w:r>
      <w:r>
        <w:tab/>
      </w:r>
      <w:r>
        <w:tab/>
      </w:r>
      <w:r>
        <w:tab/>
      </w:r>
      <w:r w:rsidR="00526A88">
        <w:tab/>
      </w:r>
      <w:r w:rsidR="00526A88">
        <w:tab/>
      </w:r>
      <w:r>
        <w:t>Thomas A. Cox, Esq.</w:t>
      </w:r>
      <w:r w:rsidR="003F658C">
        <w:t xml:space="preserve">, </w:t>
      </w:r>
      <w:r w:rsidR="00526A88">
        <w:t>Maine Bar No.</w:t>
      </w:r>
      <w:r>
        <w:t xml:space="preserve"> 1248</w:t>
      </w:r>
    </w:p>
    <w:p w:rsidR="00272A05" w:rsidRDefault="00272A05" w:rsidP="00272A05">
      <w:pPr>
        <w:tabs>
          <w:tab w:val="left" w:pos="1000"/>
          <w:tab w:val="left" w:pos="1100"/>
        </w:tabs>
      </w:pPr>
      <w:r>
        <w:tab/>
      </w:r>
      <w:r>
        <w:tab/>
      </w:r>
      <w:r>
        <w:tab/>
      </w:r>
      <w:r>
        <w:tab/>
      </w:r>
      <w:r>
        <w:tab/>
      </w:r>
      <w:r>
        <w:tab/>
      </w:r>
      <w:r w:rsidR="00526A88">
        <w:tab/>
      </w:r>
      <w:r w:rsidR="00526A88">
        <w:tab/>
      </w:r>
      <w:r>
        <w:t>Attorney for Defendant</w:t>
      </w:r>
    </w:p>
    <w:p w:rsidR="00272A05" w:rsidRDefault="00272A05" w:rsidP="00272A05">
      <w:pPr>
        <w:tabs>
          <w:tab w:val="left" w:pos="1000"/>
          <w:tab w:val="left" w:pos="1100"/>
        </w:tabs>
      </w:pPr>
    </w:p>
    <w:p w:rsidR="00272A05" w:rsidRDefault="00272A05" w:rsidP="00272A05">
      <w:pPr>
        <w:tabs>
          <w:tab w:val="left" w:pos="1000"/>
          <w:tab w:val="left" w:pos="1100"/>
        </w:tabs>
      </w:pPr>
      <w:r>
        <w:tab/>
      </w:r>
      <w:r>
        <w:tab/>
      </w:r>
      <w:r>
        <w:tab/>
      </w:r>
      <w:r>
        <w:tab/>
      </w:r>
      <w:r>
        <w:tab/>
      </w:r>
      <w:r>
        <w:tab/>
      </w:r>
      <w:r w:rsidR="00526A88">
        <w:tab/>
      </w:r>
      <w:r w:rsidR="00526A88">
        <w:tab/>
      </w:r>
      <w:r>
        <w:t>P.O.Box1314</w:t>
      </w:r>
    </w:p>
    <w:p w:rsidR="00272A05" w:rsidRDefault="00272A05" w:rsidP="00272A05">
      <w:pPr>
        <w:tabs>
          <w:tab w:val="left" w:pos="1000"/>
          <w:tab w:val="left" w:pos="1100"/>
        </w:tabs>
      </w:pPr>
      <w:r>
        <w:tab/>
      </w:r>
      <w:r>
        <w:tab/>
      </w:r>
      <w:r>
        <w:tab/>
      </w:r>
      <w:r>
        <w:tab/>
      </w:r>
      <w:r>
        <w:tab/>
      </w:r>
      <w:r>
        <w:tab/>
      </w:r>
      <w:r w:rsidR="00526A88">
        <w:tab/>
      </w:r>
      <w:r w:rsidR="00526A88">
        <w:tab/>
      </w:r>
      <w:r>
        <w:t>Portland, Maine 04104</w:t>
      </w:r>
    </w:p>
    <w:p w:rsidR="00272A05" w:rsidRDefault="003F658C" w:rsidP="00272A05">
      <w:pPr>
        <w:tabs>
          <w:tab w:val="left" w:pos="1000"/>
          <w:tab w:val="left" w:pos="1100"/>
        </w:tabs>
      </w:pPr>
      <w:r>
        <w:tab/>
      </w:r>
      <w:r w:rsidR="00272A05">
        <w:tab/>
      </w:r>
      <w:r w:rsidR="00272A05">
        <w:tab/>
      </w:r>
      <w:r w:rsidR="00272A05">
        <w:tab/>
      </w:r>
      <w:r w:rsidR="00272A05">
        <w:tab/>
      </w:r>
      <w:r w:rsidR="00272A05">
        <w:tab/>
      </w:r>
      <w:r w:rsidR="00526A88">
        <w:tab/>
      </w:r>
      <w:r w:rsidR="00526A88">
        <w:tab/>
      </w:r>
      <w:r w:rsidR="00272A05">
        <w:t>(207) 749-6671</w:t>
      </w:r>
    </w:p>
    <w:sectPr w:rsidR="00272A05" w:rsidSect="00A8768D">
      <w:footerReference w:type="even" r:id="rId6"/>
      <w:footerReference w:type="default" r:id="rId7"/>
      <w:pgSz w:w="12240" w:h="15840"/>
      <w:pgMar w:top="1440" w:right="117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6B" w:rsidRDefault="00E2576B" w:rsidP="00272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576B" w:rsidRDefault="00E2576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76B" w:rsidRDefault="00E2576B" w:rsidP="00272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F80">
      <w:rPr>
        <w:rStyle w:val="PageNumber"/>
        <w:noProof/>
      </w:rPr>
      <w:t>10</w:t>
    </w:r>
    <w:r>
      <w:rPr>
        <w:rStyle w:val="PageNumber"/>
      </w:rPr>
      <w:fldChar w:fldCharType="end"/>
    </w:r>
  </w:p>
  <w:p w:rsidR="00E2576B" w:rsidRDefault="00E2576B">
    <w:pPr>
      <w:pStyle w:val="Footer"/>
    </w:pPr>
    <w:r>
      <w:t>Rev. 6/27/10</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E2576B" w:rsidRDefault="00E2576B">
      <w:pPr>
        <w:pStyle w:val="FootnoteText"/>
      </w:pPr>
      <w:r>
        <w:rPr>
          <w:rStyle w:val="FootnoteReference"/>
        </w:rPr>
        <w:footnoteRef/>
      </w:r>
      <w:r>
        <w:t xml:space="preserve"> </w:t>
      </w:r>
      <w:r w:rsidRPr="0085235C">
        <w:rPr>
          <w:sz w:val="22"/>
        </w:rPr>
        <w:t>For the purposes of this Memorandum, the affidavit of Plaintiff's counsel in support of Plaintiff's Motion for Summary Judgment is ignored, as it pertains only to the attorney fees claimed by Plaintiff.</w:t>
      </w:r>
    </w:p>
  </w:footnote>
  <w:footnote w:id="0">
    <w:p w:rsidR="00E2576B" w:rsidRDefault="00E2576B">
      <w:pPr>
        <w:pStyle w:val="FootnoteText"/>
      </w:pPr>
      <w:r>
        <w:rPr>
          <w:rStyle w:val="FootnoteReference"/>
        </w:rPr>
        <w:footnoteRef/>
      </w:r>
      <w:r>
        <w:t xml:space="preserve"> </w:t>
      </w:r>
      <w:r w:rsidRPr="00782D73">
        <w:rPr>
          <w:sz w:val="22"/>
        </w:rPr>
        <w:t>A c</w:t>
      </w:r>
      <w:r>
        <w:rPr>
          <w:sz w:val="22"/>
        </w:rPr>
        <w:t>opy of the</w:t>
      </w:r>
      <w:r w:rsidRPr="00782D73">
        <w:rPr>
          <w:sz w:val="22"/>
        </w:rPr>
        <w:t xml:space="preserve"> transcript of the Stephan deposition is attached to Plaintiff's motion as Exhibit A.</w:t>
      </w:r>
    </w:p>
  </w:footnote>
  <w:footnote w:id="1">
    <w:p w:rsidR="00E2576B" w:rsidRDefault="00E2576B" w:rsidP="00647A4C">
      <w:pPr>
        <w:pStyle w:val="FootnoteText"/>
      </w:pPr>
      <w:r>
        <w:rPr>
          <w:rStyle w:val="FootnoteReference"/>
        </w:rPr>
        <w:footnoteRef/>
      </w:r>
      <w:r>
        <w:t xml:space="preserve"> </w:t>
      </w:r>
      <w:r w:rsidRPr="00CE72D5">
        <w:rPr>
          <w:sz w:val="22"/>
        </w:rPr>
        <w:t xml:space="preserve">It is interesting to note that the Motion for Protective Order is filed on behalf of Federal National Mortgage Association and Bank of America in addition to GMAC Mortgage. One would think </w:t>
      </w:r>
      <w:proofErr w:type="gramStart"/>
      <w:r w:rsidRPr="00CE72D5">
        <w:rPr>
          <w:sz w:val="22"/>
        </w:rPr>
        <w:t>that  taxpayer</w:t>
      </w:r>
      <w:proofErr w:type="gramEnd"/>
      <w:r w:rsidRPr="00CE72D5">
        <w:rPr>
          <w:sz w:val="22"/>
        </w:rPr>
        <w:t xml:space="preserve"> supported FNMA would have adverse interests to GMAC </w:t>
      </w:r>
      <w:r>
        <w:rPr>
          <w:sz w:val="22"/>
        </w:rPr>
        <w:t xml:space="preserve">on this issue </w:t>
      </w:r>
      <w:r w:rsidRPr="00CE72D5">
        <w:rPr>
          <w:sz w:val="22"/>
        </w:rPr>
        <w:t>due to the misconduct of GMAC in the filing of the Ste</w:t>
      </w:r>
      <w:r>
        <w:rPr>
          <w:sz w:val="22"/>
        </w:rPr>
        <w:t xml:space="preserve">phan summary judgment affidavit, </w:t>
      </w:r>
      <w:r w:rsidRPr="00CE72D5">
        <w:rPr>
          <w:sz w:val="22"/>
        </w:rPr>
        <w:t>and one is left to wonder how Bank of America has any interest whatsoever in the protective order proceeding, as no such interest is identified in the Motion.</w:t>
      </w:r>
      <w:r>
        <w:rPr>
          <w:sz w:val="22"/>
        </w:rPr>
        <w:t xml:space="preserve">  Because it is clear that it is only the </w:t>
      </w:r>
      <w:proofErr w:type="gramStart"/>
      <w:r>
        <w:rPr>
          <w:sz w:val="22"/>
        </w:rPr>
        <w:t>self interest</w:t>
      </w:r>
      <w:proofErr w:type="gramEnd"/>
      <w:r>
        <w:rPr>
          <w:sz w:val="22"/>
        </w:rPr>
        <w:t xml:space="preserve"> of GMAC Mortgage, LLC that is at stake here, for the remainder of this memorandum the moving party is simply referred to as "GMAC".</w:t>
      </w:r>
    </w:p>
  </w:footnote>
  <w:footnote w:id="2">
    <w:p w:rsidR="00E2576B" w:rsidRDefault="00E2576B">
      <w:pPr>
        <w:pStyle w:val="FootnoteText"/>
      </w:pPr>
      <w:r>
        <w:rPr>
          <w:rStyle w:val="FootnoteReference"/>
        </w:rPr>
        <w:footnoteRef/>
      </w:r>
      <w:r>
        <w:t xml:space="preserve"> </w:t>
      </w:r>
      <w:r w:rsidRPr="00015077">
        <w:rPr>
          <w:sz w:val="22"/>
        </w:rPr>
        <w:t>Defendant's Counsel's letter to counsel for GMAC dated June 4, 2010 attached to Plaintiff's Motion as Exhibit C outlines on page two the manner in which GMAC sat on its hands.</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F0043"/>
    <w:multiLevelType w:val="hybridMultilevel"/>
    <w:tmpl w:val="46129988"/>
    <w:lvl w:ilvl="0" w:tplc="226C14E0">
      <w:start w:val="1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8F3222B"/>
    <w:multiLevelType w:val="hybridMultilevel"/>
    <w:tmpl w:val="82021754"/>
    <w:lvl w:ilvl="0" w:tplc="81169B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0E50594"/>
    <w:multiLevelType w:val="hybridMultilevel"/>
    <w:tmpl w:val="2B18AED8"/>
    <w:lvl w:ilvl="0" w:tplc="114C0814">
      <w:start w:val="15"/>
      <w:numFmt w:val="decimal"/>
      <w:lvlText w:val="%1."/>
      <w:lvlJc w:val="left"/>
      <w:pPr>
        <w:tabs>
          <w:tab w:val="num" w:pos="1140"/>
        </w:tabs>
        <w:ind w:left="1140" w:hanging="420"/>
      </w:pPr>
      <w:rPr>
        <w:rFonts w:hint="default"/>
      </w:rPr>
    </w:lvl>
    <w:lvl w:ilvl="1" w:tplc="E20699BE">
      <w:start w:val="1"/>
      <w:numFmt w:val="lowerLetter"/>
      <w:lvlText w:val="%2)"/>
      <w:lvlJc w:val="left"/>
      <w:pPr>
        <w:tabs>
          <w:tab w:val="num" w:pos="1800"/>
        </w:tabs>
        <w:ind w:left="1800" w:hanging="360"/>
      </w:pPr>
      <w:rPr>
        <w:rFonts w:hint="default"/>
      </w:rPr>
    </w:lvl>
    <w:lvl w:ilvl="2" w:tplc="7EC0EEEA">
      <w:start w:val="1"/>
      <w:numFmt w:val="upperLetter"/>
      <w:lvlText w:val="%3)"/>
      <w:lvlJc w:val="left"/>
      <w:pPr>
        <w:tabs>
          <w:tab w:val="num" w:pos="2700"/>
        </w:tabs>
        <w:ind w:left="2700" w:hanging="360"/>
      </w:pPr>
      <w:rPr>
        <w:rFonts w:hint="default"/>
      </w:rPr>
    </w:lvl>
    <w:lvl w:ilvl="3" w:tplc="3ACE5732">
      <w:start w:val="1"/>
      <w:numFmt w:val="decimal"/>
      <w:lvlText w:val="(%4)"/>
      <w:lvlJc w:val="left"/>
      <w:pPr>
        <w:tabs>
          <w:tab w:val="num" w:pos="3270"/>
        </w:tabs>
        <w:ind w:left="3270" w:hanging="39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noPunctuationKerning/>
  <w:characterSpacingControl w:val="doNotCompress"/>
  <w:savePreviewPicture/>
  <w:hdrShapeDefaults>
    <o:shapedefaults v:ext="edit" spidmax="2050"/>
  </w:hdrShapeDefaults>
  <w:compat/>
  <w:rsids>
    <w:rsidRoot w:val="00C0357D"/>
    <w:rsid w:val="00001CAC"/>
    <w:rsid w:val="0000454C"/>
    <w:rsid w:val="00015077"/>
    <w:rsid w:val="00037DDC"/>
    <w:rsid w:val="00072A0C"/>
    <w:rsid w:val="00075140"/>
    <w:rsid w:val="000763D0"/>
    <w:rsid w:val="000838AF"/>
    <w:rsid w:val="00087D2C"/>
    <w:rsid w:val="000B35A2"/>
    <w:rsid w:val="000D1BD3"/>
    <w:rsid w:val="000F63F6"/>
    <w:rsid w:val="00100412"/>
    <w:rsid w:val="00107705"/>
    <w:rsid w:val="00107F71"/>
    <w:rsid w:val="00110F62"/>
    <w:rsid w:val="00126A92"/>
    <w:rsid w:val="001445B4"/>
    <w:rsid w:val="00145E2E"/>
    <w:rsid w:val="001537B0"/>
    <w:rsid w:val="00153A46"/>
    <w:rsid w:val="00157E44"/>
    <w:rsid w:val="00170ABC"/>
    <w:rsid w:val="00187439"/>
    <w:rsid w:val="00197FB5"/>
    <w:rsid w:val="001C2E1B"/>
    <w:rsid w:val="001E33DD"/>
    <w:rsid w:val="001E587D"/>
    <w:rsid w:val="001F2608"/>
    <w:rsid w:val="00202B4F"/>
    <w:rsid w:val="00241744"/>
    <w:rsid w:val="00266720"/>
    <w:rsid w:val="00272A05"/>
    <w:rsid w:val="00274CF5"/>
    <w:rsid w:val="0029089E"/>
    <w:rsid w:val="00290CDF"/>
    <w:rsid w:val="002B61CE"/>
    <w:rsid w:val="002C57C1"/>
    <w:rsid w:val="002C57C5"/>
    <w:rsid w:val="002D6486"/>
    <w:rsid w:val="002E409E"/>
    <w:rsid w:val="002F03F7"/>
    <w:rsid w:val="00330995"/>
    <w:rsid w:val="0038073C"/>
    <w:rsid w:val="003C6FC6"/>
    <w:rsid w:val="003F658C"/>
    <w:rsid w:val="00401E38"/>
    <w:rsid w:val="00404242"/>
    <w:rsid w:val="004111DC"/>
    <w:rsid w:val="004329F3"/>
    <w:rsid w:val="0043367E"/>
    <w:rsid w:val="00443AE4"/>
    <w:rsid w:val="004461A5"/>
    <w:rsid w:val="004647F8"/>
    <w:rsid w:val="0047369B"/>
    <w:rsid w:val="00485406"/>
    <w:rsid w:val="004A2302"/>
    <w:rsid w:val="004C741C"/>
    <w:rsid w:val="004D6DBF"/>
    <w:rsid w:val="004F6381"/>
    <w:rsid w:val="004F6A5B"/>
    <w:rsid w:val="00516B91"/>
    <w:rsid w:val="0052227A"/>
    <w:rsid w:val="005224FD"/>
    <w:rsid w:val="00526A88"/>
    <w:rsid w:val="005400F5"/>
    <w:rsid w:val="00557550"/>
    <w:rsid w:val="00564DE8"/>
    <w:rsid w:val="00565CC0"/>
    <w:rsid w:val="00577013"/>
    <w:rsid w:val="0058607C"/>
    <w:rsid w:val="005866A4"/>
    <w:rsid w:val="005C0845"/>
    <w:rsid w:val="005C6801"/>
    <w:rsid w:val="005C6A78"/>
    <w:rsid w:val="005D2DDD"/>
    <w:rsid w:val="00610914"/>
    <w:rsid w:val="00614BD3"/>
    <w:rsid w:val="00617975"/>
    <w:rsid w:val="00620513"/>
    <w:rsid w:val="0062486C"/>
    <w:rsid w:val="00634EFC"/>
    <w:rsid w:val="00647A4C"/>
    <w:rsid w:val="00654F72"/>
    <w:rsid w:val="0066078C"/>
    <w:rsid w:val="00673BBE"/>
    <w:rsid w:val="00686639"/>
    <w:rsid w:val="00692AB7"/>
    <w:rsid w:val="006B0E9B"/>
    <w:rsid w:val="006C47F8"/>
    <w:rsid w:val="006E2E2F"/>
    <w:rsid w:val="006E7407"/>
    <w:rsid w:val="006F100A"/>
    <w:rsid w:val="00707E54"/>
    <w:rsid w:val="007143C5"/>
    <w:rsid w:val="00715F31"/>
    <w:rsid w:val="00732930"/>
    <w:rsid w:val="0075436C"/>
    <w:rsid w:val="00755D6A"/>
    <w:rsid w:val="00756B96"/>
    <w:rsid w:val="00772B9A"/>
    <w:rsid w:val="0077440E"/>
    <w:rsid w:val="00782D73"/>
    <w:rsid w:val="007844CA"/>
    <w:rsid w:val="00787CE3"/>
    <w:rsid w:val="007B320B"/>
    <w:rsid w:val="007B42A8"/>
    <w:rsid w:val="007C07BE"/>
    <w:rsid w:val="007C76F3"/>
    <w:rsid w:val="007D4343"/>
    <w:rsid w:val="007F72F6"/>
    <w:rsid w:val="00800093"/>
    <w:rsid w:val="008073A8"/>
    <w:rsid w:val="00814026"/>
    <w:rsid w:val="00837EFE"/>
    <w:rsid w:val="008571D1"/>
    <w:rsid w:val="0087799C"/>
    <w:rsid w:val="00891040"/>
    <w:rsid w:val="008942E2"/>
    <w:rsid w:val="00897300"/>
    <w:rsid w:val="008B38E3"/>
    <w:rsid w:val="008C70EF"/>
    <w:rsid w:val="008E7187"/>
    <w:rsid w:val="0090011C"/>
    <w:rsid w:val="00970181"/>
    <w:rsid w:val="009770E9"/>
    <w:rsid w:val="009845E8"/>
    <w:rsid w:val="00990CC7"/>
    <w:rsid w:val="009C1745"/>
    <w:rsid w:val="009D5804"/>
    <w:rsid w:val="00A01435"/>
    <w:rsid w:val="00A0449E"/>
    <w:rsid w:val="00A30C94"/>
    <w:rsid w:val="00A330FF"/>
    <w:rsid w:val="00A33115"/>
    <w:rsid w:val="00A46F86"/>
    <w:rsid w:val="00A801F1"/>
    <w:rsid w:val="00A8768D"/>
    <w:rsid w:val="00AA623F"/>
    <w:rsid w:val="00AB0368"/>
    <w:rsid w:val="00AD00A0"/>
    <w:rsid w:val="00AD061D"/>
    <w:rsid w:val="00AD5456"/>
    <w:rsid w:val="00AF0D40"/>
    <w:rsid w:val="00B02A2C"/>
    <w:rsid w:val="00B11125"/>
    <w:rsid w:val="00B16A2C"/>
    <w:rsid w:val="00B26ED7"/>
    <w:rsid w:val="00B30C41"/>
    <w:rsid w:val="00B440ED"/>
    <w:rsid w:val="00B47A0B"/>
    <w:rsid w:val="00B563AC"/>
    <w:rsid w:val="00B644BF"/>
    <w:rsid w:val="00B64623"/>
    <w:rsid w:val="00B663D9"/>
    <w:rsid w:val="00B669ED"/>
    <w:rsid w:val="00B906BC"/>
    <w:rsid w:val="00B964EE"/>
    <w:rsid w:val="00BA543E"/>
    <w:rsid w:val="00BA6A37"/>
    <w:rsid w:val="00BD2A9E"/>
    <w:rsid w:val="00BD595E"/>
    <w:rsid w:val="00BD5E66"/>
    <w:rsid w:val="00BD65F0"/>
    <w:rsid w:val="00C0357D"/>
    <w:rsid w:val="00C03EC4"/>
    <w:rsid w:val="00C214A3"/>
    <w:rsid w:val="00C436F3"/>
    <w:rsid w:val="00C65F57"/>
    <w:rsid w:val="00C8616C"/>
    <w:rsid w:val="00CA078F"/>
    <w:rsid w:val="00CA0AFC"/>
    <w:rsid w:val="00CA66ED"/>
    <w:rsid w:val="00CE65FD"/>
    <w:rsid w:val="00CE72D5"/>
    <w:rsid w:val="00CF7A1E"/>
    <w:rsid w:val="00D01559"/>
    <w:rsid w:val="00D17942"/>
    <w:rsid w:val="00D2219A"/>
    <w:rsid w:val="00D22CE4"/>
    <w:rsid w:val="00D26C13"/>
    <w:rsid w:val="00D354C0"/>
    <w:rsid w:val="00D441F9"/>
    <w:rsid w:val="00D717AC"/>
    <w:rsid w:val="00D77600"/>
    <w:rsid w:val="00D908A3"/>
    <w:rsid w:val="00DA2F56"/>
    <w:rsid w:val="00DC1E2C"/>
    <w:rsid w:val="00DE4EC6"/>
    <w:rsid w:val="00DE7E19"/>
    <w:rsid w:val="00DF5D5F"/>
    <w:rsid w:val="00E2117D"/>
    <w:rsid w:val="00E2576B"/>
    <w:rsid w:val="00E31810"/>
    <w:rsid w:val="00E444A9"/>
    <w:rsid w:val="00E51165"/>
    <w:rsid w:val="00E73826"/>
    <w:rsid w:val="00E73C3A"/>
    <w:rsid w:val="00E81746"/>
    <w:rsid w:val="00E82FC5"/>
    <w:rsid w:val="00E94EC0"/>
    <w:rsid w:val="00EA7B99"/>
    <w:rsid w:val="00EB23F9"/>
    <w:rsid w:val="00EC41EF"/>
    <w:rsid w:val="00ED3030"/>
    <w:rsid w:val="00ED3CCB"/>
    <w:rsid w:val="00EE69DF"/>
    <w:rsid w:val="00EF53C4"/>
    <w:rsid w:val="00F00FC0"/>
    <w:rsid w:val="00F025D5"/>
    <w:rsid w:val="00F15834"/>
    <w:rsid w:val="00F17CE4"/>
    <w:rsid w:val="00F36452"/>
    <w:rsid w:val="00F401C8"/>
    <w:rsid w:val="00F54707"/>
    <w:rsid w:val="00F601D1"/>
    <w:rsid w:val="00F622ED"/>
    <w:rsid w:val="00FA2CBF"/>
    <w:rsid w:val="00FA7594"/>
    <w:rsid w:val="00FC6742"/>
    <w:rsid w:val="00FD1802"/>
    <w:rsid w:val="00FE1BCC"/>
    <w:rsid w:val="00FE6F8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037DDC"/>
    <w:rPr>
      <w:sz w:val="24"/>
      <w:szCs w:val="24"/>
    </w:rPr>
  </w:style>
  <w:style w:type="paragraph" w:styleId="Heading1">
    <w:name w:val="heading 1"/>
    <w:basedOn w:val="Normal"/>
    <w:next w:val="Normal"/>
    <w:qFormat/>
    <w:rsid w:val="00037DDC"/>
    <w:pPr>
      <w:keepNext/>
      <w:outlineLvl w:val="0"/>
    </w:pPr>
    <w:rPr>
      <w:szCs w:val="20"/>
    </w:rPr>
  </w:style>
  <w:style w:type="paragraph" w:styleId="Heading2">
    <w:name w:val="heading 2"/>
    <w:basedOn w:val="Normal"/>
    <w:next w:val="Normal"/>
    <w:link w:val="Heading2Char"/>
    <w:unhideWhenUsed/>
    <w:qFormat/>
    <w:rsid w:val="00BA416E"/>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rsid w:val="00186A64"/>
    <w:pPr>
      <w:keepNext/>
      <w:spacing w:before="240" w:after="60"/>
      <w:outlineLvl w:val="2"/>
    </w:pPr>
    <w:rPr>
      <w:rFonts w:ascii="Calibri" w:hAnsi="Calibri"/>
      <w:b/>
      <w:bCs/>
      <w:sz w:val="26"/>
      <w:szCs w:val="26"/>
    </w:rPr>
  </w:style>
  <w:style w:type="paragraph" w:styleId="Heading5">
    <w:name w:val="heading 5"/>
    <w:basedOn w:val="Normal"/>
    <w:next w:val="Normal"/>
    <w:qFormat/>
    <w:rsid w:val="00037DDC"/>
    <w:pPr>
      <w:keepNext/>
      <w:tabs>
        <w:tab w:val="left" w:pos="1000"/>
        <w:tab w:val="left" w:pos="1100"/>
      </w:tabs>
      <w:ind w:left="700"/>
      <w:outlineLvl w:val="4"/>
    </w:pPr>
    <w:rPr>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
    <w:name w:val="Body Text Indent"/>
    <w:basedOn w:val="Normal"/>
    <w:rsid w:val="00037DDC"/>
    <w:pPr>
      <w:ind w:left="720"/>
    </w:pPr>
  </w:style>
  <w:style w:type="paragraph" w:styleId="BodyTextIndent2">
    <w:name w:val="Body Text Indent 2"/>
    <w:basedOn w:val="Normal"/>
    <w:rsid w:val="00037DDC"/>
    <w:pPr>
      <w:ind w:left="1080" w:hanging="360"/>
    </w:pPr>
  </w:style>
  <w:style w:type="paragraph" w:styleId="ListParagraph">
    <w:name w:val="List Paragraph"/>
    <w:basedOn w:val="Normal"/>
    <w:uiPriority w:val="34"/>
    <w:qFormat/>
    <w:rsid w:val="00835704"/>
    <w:pPr>
      <w:spacing w:after="200"/>
      <w:ind w:left="720"/>
      <w:contextualSpacing/>
    </w:pPr>
    <w:rPr>
      <w:rFonts w:ascii="Cambria" w:eastAsia="Cambria" w:hAnsi="Cambria"/>
    </w:rPr>
  </w:style>
  <w:style w:type="character" w:customStyle="1" w:styleId="Heading2Char">
    <w:name w:val="Heading 2 Char"/>
    <w:basedOn w:val="DefaultParagraphFont"/>
    <w:link w:val="Heading2"/>
    <w:rsid w:val="00BA416E"/>
    <w:rPr>
      <w:rFonts w:ascii="Calibri" w:eastAsia="Times New Roman" w:hAnsi="Calibri" w:cs="Times New Roman"/>
      <w:b/>
      <w:bCs/>
      <w:i/>
      <w:iCs/>
      <w:sz w:val="28"/>
      <w:szCs w:val="28"/>
    </w:rPr>
  </w:style>
  <w:style w:type="paragraph" w:styleId="Header">
    <w:name w:val="header"/>
    <w:basedOn w:val="Normal"/>
    <w:link w:val="HeaderChar"/>
    <w:rsid w:val="000E7940"/>
    <w:pPr>
      <w:tabs>
        <w:tab w:val="center" w:pos="4320"/>
        <w:tab w:val="right" w:pos="8640"/>
      </w:tabs>
    </w:pPr>
  </w:style>
  <w:style w:type="character" w:customStyle="1" w:styleId="HeaderChar">
    <w:name w:val="Header Char"/>
    <w:basedOn w:val="DefaultParagraphFont"/>
    <w:link w:val="Header"/>
    <w:rsid w:val="000E7940"/>
    <w:rPr>
      <w:sz w:val="24"/>
      <w:szCs w:val="24"/>
    </w:rPr>
  </w:style>
  <w:style w:type="paragraph" w:styleId="Footer">
    <w:name w:val="footer"/>
    <w:basedOn w:val="Normal"/>
    <w:link w:val="FooterChar"/>
    <w:rsid w:val="000E7940"/>
    <w:pPr>
      <w:tabs>
        <w:tab w:val="center" w:pos="4320"/>
        <w:tab w:val="right" w:pos="8640"/>
      </w:tabs>
    </w:pPr>
  </w:style>
  <w:style w:type="character" w:customStyle="1" w:styleId="FooterChar">
    <w:name w:val="Footer Char"/>
    <w:basedOn w:val="DefaultParagraphFont"/>
    <w:link w:val="Footer"/>
    <w:rsid w:val="000E7940"/>
    <w:rPr>
      <w:sz w:val="24"/>
      <w:szCs w:val="24"/>
    </w:rPr>
  </w:style>
  <w:style w:type="paragraph" w:styleId="FootnoteText">
    <w:name w:val="footnote text"/>
    <w:basedOn w:val="Normal"/>
    <w:link w:val="FootnoteTextChar"/>
    <w:rsid w:val="00891B6A"/>
  </w:style>
  <w:style w:type="character" w:customStyle="1" w:styleId="FootnoteTextChar">
    <w:name w:val="Footnote Text Char"/>
    <w:basedOn w:val="DefaultParagraphFont"/>
    <w:link w:val="FootnoteText"/>
    <w:rsid w:val="00891B6A"/>
    <w:rPr>
      <w:sz w:val="24"/>
      <w:szCs w:val="24"/>
    </w:rPr>
  </w:style>
  <w:style w:type="character" w:styleId="FootnoteReference">
    <w:name w:val="footnote reference"/>
    <w:basedOn w:val="DefaultParagraphFont"/>
    <w:rsid w:val="00891B6A"/>
    <w:rPr>
      <w:vertAlign w:val="superscript"/>
    </w:rPr>
  </w:style>
  <w:style w:type="character" w:styleId="PageNumber">
    <w:name w:val="page number"/>
    <w:basedOn w:val="DefaultParagraphFont"/>
    <w:rsid w:val="004B1AC7"/>
  </w:style>
  <w:style w:type="character" w:customStyle="1" w:styleId="Heading3Char">
    <w:name w:val="Heading 3 Char"/>
    <w:basedOn w:val="DefaultParagraphFont"/>
    <w:link w:val="Heading3"/>
    <w:rsid w:val="00186A64"/>
    <w:rPr>
      <w:rFonts w:ascii="Calibri" w:eastAsia="Times New Roman" w:hAnsi="Calibri" w:cs="Times New Roman"/>
      <w:b/>
      <w:bCs/>
      <w:sz w:val="26"/>
      <w:szCs w:val="26"/>
    </w:rPr>
  </w:style>
  <w:style w:type="paragraph" w:customStyle="1" w:styleId="mrs-text">
    <w:name w:val="mrs-text"/>
    <w:basedOn w:val="Normal"/>
    <w:rsid w:val="00186A64"/>
    <w:pPr>
      <w:spacing w:beforeLines="1" w:afterLines="1"/>
    </w:pPr>
    <w:rPr>
      <w:rFonts w:ascii="Times" w:hAnsi="Times"/>
      <w:sz w:val="20"/>
      <w:szCs w:val="20"/>
    </w:rPr>
  </w:style>
  <w:style w:type="character" w:customStyle="1" w:styleId="bhistory">
    <w:name w:val="bhistory"/>
    <w:basedOn w:val="DefaultParagraphFont"/>
    <w:rsid w:val="00186A64"/>
  </w:style>
  <w:style w:type="character" w:customStyle="1" w:styleId="histyear">
    <w:name w:val="hist_year"/>
    <w:basedOn w:val="DefaultParagraphFont"/>
    <w:rsid w:val="00186A64"/>
  </w:style>
  <w:style w:type="character" w:customStyle="1" w:styleId="histchapter">
    <w:name w:val="hist_chapter"/>
    <w:basedOn w:val="DefaultParagraphFont"/>
    <w:rsid w:val="00186A64"/>
  </w:style>
  <w:style w:type="character" w:customStyle="1" w:styleId="histpart">
    <w:name w:val="hist_part"/>
    <w:basedOn w:val="DefaultParagraphFont"/>
    <w:rsid w:val="00186A64"/>
  </w:style>
  <w:style w:type="character" w:customStyle="1" w:styleId="histsection">
    <w:name w:val="hist_section"/>
    <w:basedOn w:val="DefaultParagraphFont"/>
    <w:rsid w:val="00186A64"/>
  </w:style>
  <w:style w:type="character" w:customStyle="1" w:styleId="histeffect">
    <w:name w:val="hist_effect"/>
    <w:basedOn w:val="DefaultParagraphFont"/>
    <w:rsid w:val="00186A64"/>
  </w:style>
  <w:style w:type="character" w:customStyle="1" w:styleId="headnote">
    <w:name w:val="headnote"/>
    <w:basedOn w:val="DefaultParagraphFont"/>
    <w:rsid w:val="00186A64"/>
  </w:style>
  <w:style w:type="character" w:customStyle="1" w:styleId="letparaid">
    <w:name w:val="letpara_id"/>
    <w:basedOn w:val="DefaultParagraphFont"/>
    <w:rsid w:val="003D2146"/>
  </w:style>
</w:styles>
</file>

<file path=word/webSettings.xml><?xml version="1.0" encoding="utf-8"?>
<w:webSettings xmlns:r="http://schemas.openxmlformats.org/officeDocument/2006/relationships" xmlns:w="http://schemas.openxmlformats.org/wordprocessingml/2006/main">
  <w:divs>
    <w:div w:id="22678736">
      <w:bodyDiv w:val="1"/>
      <w:marLeft w:val="0"/>
      <w:marRight w:val="0"/>
      <w:marTop w:val="0"/>
      <w:marBottom w:val="0"/>
      <w:divBdr>
        <w:top w:val="none" w:sz="0" w:space="0" w:color="auto"/>
        <w:left w:val="none" w:sz="0" w:space="0" w:color="auto"/>
        <w:bottom w:val="none" w:sz="0" w:space="0" w:color="auto"/>
        <w:right w:val="none" w:sz="0" w:space="0" w:color="auto"/>
      </w:divBdr>
      <w:divsChild>
        <w:div w:id="614599809">
          <w:marLeft w:val="0"/>
          <w:marRight w:val="0"/>
          <w:marTop w:val="0"/>
          <w:marBottom w:val="0"/>
          <w:divBdr>
            <w:top w:val="none" w:sz="0" w:space="0" w:color="auto"/>
            <w:left w:val="none" w:sz="0" w:space="0" w:color="auto"/>
            <w:bottom w:val="none" w:sz="0" w:space="0" w:color="auto"/>
            <w:right w:val="none" w:sz="0" w:space="0" w:color="auto"/>
          </w:divBdr>
        </w:div>
        <w:div w:id="1034889415">
          <w:marLeft w:val="0"/>
          <w:marRight w:val="0"/>
          <w:marTop w:val="0"/>
          <w:marBottom w:val="0"/>
          <w:divBdr>
            <w:top w:val="none" w:sz="0" w:space="0" w:color="auto"/>
            <w:left w:val="none" w:sz="0" w:space="0" w:color="auto"/>
            <w:bottom w:val="none" w:sz="0" w:space="0" w:color="auto"/>
            <w:right w:val="none" w:sz="0" w:space="0" w:color="auto"/>
          </w:divBdr>
          <w:divsChild>
            <w:div w:id="1942179280">
              <w:marLeft w:val="0"/>
              <w:marRight w:val="0"/>
              <w:marTop w:val="0"/>
              <w:marBottom w:val="0"/>
              <w:divBdr>
                <w:top w:val="none" w:sz="0" w:space="0" w:color="auto"/>
                <w:left w:val="none" w:sz="0" w:space="0" w:color="auto"/>
                <w:bottom w:val="none" w:sz="0" w:space="0" w:color="auto"/>
                <w:right w:val="none" w:sz="0" w:space="0" w:color="auto"/>
              </w:divBdr>
            </w:div>
          </w:divsChild>
        </w:div>
        <w:div w:id="1080175248">
          <w:marLeft w:val="0"/>
          <w:marRight w:val="0"/>
          <w:marTop w:val="0"/>
          <w:marBottom w:val="0"/>
          <w:divBdr>
            <w:top w:val="none" w:sz="0" w:space="0" w:color="auto"/>
            <w:left w:val="none" w:sz="0" w:space="0" w:color="auto"/>
            <w:bottom w:val="none" w:sz="0" w:space="0" w:color="auto"/>
            <w:right w:val="none" w:sz="0" w:space="0" w:color="auto"/>
          </w:divBdr>
          <w:divsChild>
            <w:div w:id="1064646905">
              <w:marLeft w:val="0"/>
              <w:marRight w:val="0"/>
              <w:marTop w:val="0"/>
              <w:marBottom w:val="0"/>
              <w:divBdr>
                <w:top w:val="none" w:sz="0" w:space="0" w:color="auto"/>
                <w:left w:val="none" w:sz="0" w:space="0" w:color="auto"/>
                <w:bottom w:val="none" w:sz="0" w:space="0" w:color="auto"/>
                <w:right w:val="none" w:sz="0" w:space="0" w:color="auto"/>
              </w:divBdr>
            </w:div>
          </w:divsChild>
        </w:div>
        <w:div w:id="1082096665">
          <w:marLeft w:val="0"/>
          <w:marRight w:val="0"/>
          <w:marTop w:val="0"/>
          <w:marBottom w:val="0"/>
          <w:divBdr>
            <w:top w:val="none" w:sz="0" w:space="0" w:color="auto"/>
            <w:left w:val="none" w:sz="0" w:space="0" w:color="auto"/>
            <w:bottom w:val="none" w:sz="0" w:space="0" w:color="auto"/>
            <w:right w:val="none" w:sz="0" w:space="0" w:color="auto"/>
          </w:divBdr>
          <w:divsChild>
            <w:div w:id="728963736">
              <w:marLeft w:val="0"/>
              <w:marRight w:val="0"/>
              <w:marTop w:val="0"/>
              <w:marBottom w:val="0"/>
              <w:divBdr>
                <w:top w:val="none" w:sz="0" w:space="0" w:color="auto"/>
                <w:left w:val="none" w:sz="0" w:space="0" w:color="auto"/>
                <w:bottom w:val="none" w:sz="0" w:space="0" w:color="auto"/>
                <w:right w:val="none" w:sz="0" w:space="0" w:color="auto"/>
              </w:divBdr>
            </w:div>
            <w:div w:id="196522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601">
      <w:bodyDiv w:val="1"/>
      <w:marLeft w:val="0"/>
      <w:marRight w:val="0"/>
      <w:marTop w:val="0"/>
      <w:marBottom w:val="0"/>
      <w:divBdr>
        <w:top w:val="none" w:sz="0" w:space="0" w:color="auto"/>
        <w:left w:val="none" w:sz="0" w:space="0" w:color="auto"/>
        <w:bottom w:val="none" w:sz="0" w:space="0" w:color="auto"/>
        <w:right w:val="none" w:sz="0" w:space="0" w:color="auto"/>
      </w:divBdr>
      <w:divsChild>
        <w:div w:id="211968925">
          <w:marLeft w:val="0"/>
          <w:marRight w:val="0"/>
          <w:marTop w:val="0"/>
          <w:marBottom w:val="0"/>
          <w:divBdr>
            <w:top w:val="none" w:sz="0" w:space="0" w:color="auto"/>
            <w:left w:val="none" w:sz="0" w:space="0" w:color="auto"/>
            <w:bottom w:val="none" w:sz="0" w:space="0" w:color="auto"/>
            <w:right w:val="none" w:sz="0" w:space="0" w:color="auto"/>
          </w:divBdr>
          <w:divsChild>
            <w:div w:id="539510189">
              <w:marLeft w:val="0"/>
              <w:marRight w:val="0"/>
              <w:marTop w:val="0"/>
              <w:marBottom w:val="0"/>
              <w:divBdr>
                <w:top w:val="none" w:sz="0" w:space="0" w:color="auto"/>
                <w:left w:val="none" w:sz="0" w:space="0" w:color="auto"/>
                <w:bottom w:val="none" w:sz="0" w:space="0" w:color="auto"/>
                <w:right w:val="none" w:sz="0" w:space="0" w:color="auto"/>
              </w:divBdr>
            </w:div>
          </w:divsChild>
        </w:div>
        <w:div w:id="849758707">
          <w:marLeft w:val="0"/>
          <w:marRight w:val="0"/>
          <w:marTop w:val="0"/>
          <w:marBottom w:val="0"/>
          <w:divBdr>
            <w:top w:val="none" w:sz="0" w:space="0" w:color="auto"/>
            <w:left w:val="none" w:sz="0" w:space="0" w:color="auto"/>
            <w:bottom w:val="none" w:sz="0" w:space="0" w:color="auto"/>
            <w:right w:val="none" w:sz="0" w:space="0" w:color="auto"/>
          </w:divBdr>
        </w:div>
        <w:div w:id="1520005375">
          <w:marLeft w:val="0"/>
          <w:marRight w:val="0"/>
          <w:marTop w:val="0"/>
          <w:marBottom w:val="0"/>
          <w:divBdr>
            <w:top w:val="none" w:sz="0" w:space="0" w:color="auto"/>
            <w:left w:val="none" w:sz="0" w:space="0" w:color="auto"/>
            <w:bottom w:val="none" w:sz="0" w:space="0" w:color="auto"/>
            <w:right w:val="none" w:sz="0" w:space="0" w:color="auto"/>
          </w:divBdr>
          <w:divsChild>
            <w:div w:id="1756324383">
              <w:marLeft w:val="0"/>
              <w:marRight w:val="0"/>
              <w:marTop w:val="0"/>
              <w:marBottom w:val="0"/>
              <w:divBdr>
                <w:top w:val="none" w:sz="0" w:space="0" w:color="auto"/>
                <w:left w:val="none" w:sz="0" w:space="0" w:color="auto"/>
                <w:bottom w:val="none" w:sz="0" w:space="0" w:color="auto"/>
                <w:right w:val="none" w:sz="0" w:space="0" w:color="auto"/>
              </w:divBdr>
            </w:div>
          </w:divsChild>
        </w:div>
        <w:div w:id="1552764516">
          <w:marLeft w:val="0"/>
          <w:marRight w:val="0"/>
          <w:marTop w:val="0"/>
          <w:marBottom w:val="0"/>
          <w:divBdr>
            <w:top w:val="none" w:sz="0" w:space="0" w:color="auto"/>
            <w:left w:val="none" w:sz="0" w:space="0" w:color="auto"/>
            <w:bottom w:val="none" w:sz="0" w:space="0" w:color="auto"/>
            <w:right w:val="none" w:sz="0" w:space="0" w:color="auto"/>
          </w:divBdr>
          <w:divsChild>
            <w:div w:id="1233270066">
              <w:marLeft w:val="0"/>
              <w:marRight w:val="0"/>
              <w:marTop w:val="0"/>
              <w:marBottom w:val="0"/>
              <w:divBdr>
                <w:top w:val="none" w:sz="0" w:space="0" w:color="auto"/>
                <w:left w:val="none" w:sz="0" w:space="0" w:color="auto"/>
                <w:bottom w:val="none" w:sz="0" w:space="0" w:color="auto"/>
                <w:right w:val="none" w:sz="0" w:space="0" w:color="auto"/>
              </w:divBdr>
            </w:div>
          </w:divsChild>
        </w:div>
        <w:div w:id="1870725966">
          <w:marLeft w:val="0"/>
          <w:marRight w:val="0"/>
          <w:marTop w:val="0"/>
          <w:marBottom w:val="0"/>
          <w:divBdr>
            <w:top w:val="none" w:sz="0" w:space="0" w:color="auto"/>
            <w:left w:val="none" w:sz="0" w:space="0" w:color="auto"/>
            <w:bottom w:val="none" w:sz="0" w:space="0" w:color="auto"/>
            <w:right w:val="none" w:sz="0" w:space="0" w:color="auto"/>
          </w:divBdr>
        </w:div>
      </w:divsChild>
    </w:div>
    <w:div w:id="324237412">
      <w:bodyDiv w:val="1"/>
      <w:marLeft w:val="0"/>
      <w:marRight w:val="0"/>
      <w:marTop w:val="0"/>
      <w:marBottom w:val="0"/>
      <w:divBdr>
        <w:top w:val="none" w:sz="0" w:space="0" w:color="auto"/>
        <w:left w:val="none" w:sz="0" w:space="0" w:color="auto"/>
        <w:bottom w:val="none" w:sz="0" w:space="0" w:color="auto"/>
        <w:right w:val="none" w:sz="0" w:space="0" w:color="auto"/>
      </w:divBdr>
      <w:divsChild>
        <w:div w:id="189075843">
          <w:marLeft w:val="0"/>
          <w:marRight w:val="0"/>
          <w:marTop w:val="0"/>
          <w:marBottom w:val="0"/>
          <w:divBdr>
            <w:top w:val="none" w:sz="0" w:space="0" w:color="auto"/>
            <w:left w:val="none" w:sz="0" w:space="0" w:color="auto"/>
            <w:bottom w:val="none" w:sz="0" w:space="0" w:color="auto"/>
            <w:right w:val="none" w:sz="0" w:space="0" w:color="auto"/>
          </w:divBdr>
          <w:divsChild>
            <w:div w:id="1036811897">
              <w:marLeft w:val="0"/>
              <w:marRight w:val="0"/>
              <w:marTop w:val="0"/>
              <w:marBottom w:val="0"/>
              <w:divBdr>
                <w:top w:val="none" w:sz="0" w:space="0" w:color="auto"/>
                <w:left w:val="none" w:sz="0" w:space="0" w:color="auto"/>
                <w:bottom w:val="none" w:sz="0" w:space="0" w:color="auto"/>
                <w:right w:val="none" w:sz="0" w:space="0" w:color="auto"/>
              </w:divBdr>
            </w:div>
            <w:div w:id="1323705161">
              <w:marLeft w:val="0"/>
              <w:marRight w:val="0"/>
              <w:marTop w:val="0"/>
              <w:marBottom w:val="0"/>
              <w:divBdr>
                <w:top w:val="none" w:sz="0" w:space="0" w:color="auto"/>
                <w:left w:val="none" w:sz="0" w:space="0" w:color="auto"/>
                <w:bottom w:val="none" w:sz="0" w:space="0" w:color="auto"/>
                <w:right w:val="none" w:sz="0" w:space="0" w:color="auto"/>
              </w:divBdr>
            </w:div>
          </w:divsChild>
        </w:div>
        <w:div w:id="457407997">
          <w:marLeft w:val="0"/>
          <w:marRight w:val="0"/>
          <w:marTop w:val="0"/>
          <w:marBottom w:val="0"/>
          <w:divBdr>
            <w:top w:val="none" w:sz="0" w:space="0" w:color="auto"/>
            <w:left w:val="none" w:sz="0" w:space="0" w:color="auto"/>
            <w:bottom w:val="none" w:sz="0" w:space="0" w:color="auto"/>
            <w:right w:val="none" w:sz="0" w:space="0" w:color="auto"/>
          </w:divBdr>
          <w:divsChild>
            <w:div w:id="1563560020">
              <w:marLeft w:val="0"/>
              <w:marRight w:val="0"/>
              <w:marTop w:val="0"/>
              <w:marBottom w:val="0"/>
              <w:divBdr>
                <w:top w:val="none" w:sz="0" w:space="0" w:color="auto"/>
                <w:left w:val="none" w:sz="0" w:space="0" w:color="auto"/>
                <w:bottom w:val="none" w:sz="0" w:space="0" w:color="auto"/>
                <w:right w:val="none" w:sz="0" w:space="0" w:color="auto"/>
              </w:divBdr>
            </w:div>
          </w:divsChild>
        </w:div>
        <w:div w:id="2066753772">
          <w:marLeft w:val="0"/>
          <w:marRight w:val="0"/>
          <w:marTop w:val="0"/>
          <w:marBottom w:val="0"/>
          <w:divBdr>
            <w:top w:val="none" w:sz="0" w:space="0" w:color="auto"/>
            <w:left w:val="none" w:sz="0" w:space="0" w:color="auto"/>
            <w:bottom w:val="none" w:sz="0" w:space="0" w:color="auto"/>
            <w:right w:val="none" w:sz="0" w:space="0" w:color="auto"/>
          </w:divBdr>
        </w:div>
        <w:div w:id="2073651706">
          <w:marLeft w:val="0"/>
          <w:marRight w:val="0"/>
          <w:marTop w:val="0"/>
          <w:marBottom w:val="0"/>
          <w:divBdr>
            <w:top w:val="none" w:sz="0" w:space="0" w:color="auto"/>
            <w:left w:val="none" w:sz="0" w:space="0" w:color="auto"/>
            <w:bottom w:val="none" w:sz="0" w:space="0" w:color="auto"/>
            <w:right w:val="none" w:sz="0" w:space="0" w:color="auto"/>
          </w:divBdr>
          <w:divsChild>
            <w:div w:id="1940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3311">
      <w:bodyDiv w:val="1"/>
      <w:marLeft w:val="0"/>
      <w:marRight w:val="0"/>
      <w:marTop w:val="0"/>
      <w:marBottom w:val="0"/>
      <w:divBdr>
        <w:top w:val="none" w:sz="0" w:space="0" w:color="auto"/>
        <w:left w:val="none" w:sz="0" w:space="0" w:color="auto"/>
        <w:bottom w:val="none" w:sz="0" w:space="0" w:color="auto"/>
        <w:right w:val="none" w:sz="0" w:space="0" w:color="auto"/>
      </w:divBdr>
      <w:divsChild>
        <w:div w:id="174157158">
          <w:marLeft w:val="0"/>
          <w:marRight w:val="0"/>
          <w:marTop w:val="0"/>
          <w:marBottom w:val="0"/>
          <w:divBdr>
            <w:top w:val="none" w:sz="0" w:space="0" w:color="auto"/>
            <w:left w:val="none" w:sz="0" w:space="0" w:color="auto"/>
            <w:bottom w:val="none" w:sz="0" w:space="0" w:color="auto"/>
            <w:right w:val="none" w:sz="0" w:space="0" w:color="auto"/>
          </w:divBdr>
        </w:div>
        <w:div w:id="507332930">
          <w:marLeft w:val="0"/>
          <w:marRight w:val="0"/>
          <w:marTop w:val="0"/>
          <w:marBottom w:val="0"/>
          <w:divBdr>
            <w:top w:val="none" w:sz="0" w:space="0" w:color="auto"/>
            <w:left w:val="none" w:sz="0" w:space="0" w:color="auto"/>
            <w:bottom w:val="none" w:sz="0" w:space="0" w:color="auto"/>
            <w:right w:val="none" w:sz="0" w:space="0" w:color="auto"/>
          </w:divBdr>
          <w:divsChild>
            <w:div w:id="1090589935">
              <w:marLeft w:val="0"/>
              <w:marRight w:val="0"/>
              <w:marTop w:val="0"/>
              <w:marBottom w:val="0"/>
              <w:divBdr>
                <w:top w:val="none" w:sz="0" w:space="0" w:color="auto"/>
                <w:left w:val="none" w:sz="0" w:space="0" w:color="auto"/>
                <w:bottom w:val="none" w:sz="0" w:space="0" w:color="auto"/>
                <w:right w:val="none" w:sz="0" w:space="0" w:color="auto"/>
              </w:divBdr>
            </w:div>
          </w:divsChild>
        </w:div>
        <w:div w:id="827867956">
          <w:marLeft w:val="0"/>
          <w:marRight w:val="0"/>
          <w:marTop w:val="0"/>
          <w:marBottom w:val="0"/>
          <w:divBdr>
            <w:top w:val="none" w:sz="0" w:space="0" w:color="auto"/>
            <w:left w:val="none" w:sz="0" w:space="0" w:color="auto"/>
            <w:bottom w:val="none" w:sz="0" w:space="0" w:color="auto"/>
            <w:right w:val="none" w:sz="0" w:space="0" w:color="auto"/>
          </w:divBdr>
          <w:divsChild>
            <w:div w:id="134177960">
              <w:marLeft w:val="0"/>
              <w:marRight w:val="0"/>
              <w:marTop w:val="0"/>
              <w:marBottom w:val="0"/>
              <w:divBdr>
                <w:top w:val="none" w:sz="0" w:space="0" w:color="auto"/>
                <w:left w:val="none" w:sz="0" w:space="0" w:color="auto"/>
                <w:bottom w:val="none" w:sz="0" w:space="0" w:color="auto"/>
                <w:right w:val="none" w:sz="0" w:space="0" w:color="auto"/>
              </w:divBdr>
            </w:div>
          </w:divsChild>
        </w:div>
        <w:div w:id="1735079888">
          <w:marLeft w:val="0"/>
          <w:marRight w:val="0"/>
          <w:marTop w:val="0"/>
          <w:marBottom w:val="0"/>
          <w:divBdr>
            <w:top w:val="none" w:sz="0" w:space="0" w:color="auto"/>
            <w:left w:val="none" w:sz="0" w:space="0" w:color="auto"/>
            <w:bottom w:val="none" w:sz="0" w:space="0" w:color="auto"/>
            <w:right w:val="none" w:sz="0" w:space="0" w:color="auto"/>
          </w:divBdr>
          <w:divsChild>
            <w:div w:id="1113398817">
              <w:marLeft w:val="0"/>
              <w:marRight w:val="0"/>
              <w:marTop w:val="0"/>
              <w:marBottom w:val="0"/>
              <w:divBdr>
                <w:top w:val="none" w:sz="0" w:space="0" w:color="auto"/>
                <w:left w:val="none" w:sz="0" w:space="0" w:color="auto"/>
                <w:bottom w:val="none" w:sz="0" w:space="0" w:color="auto"/>
                <w:right w:val="none" w:sz="0" w:space="0" w:color="auto"/>
              </w:divBdr>
            </w:div>
            <w:div w:id="11527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2723</Words>
  <Characters>15522</Characters>
  <Application>Microsoft Macintosh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STATE OF MAINE</vt:lpstr>
    </vt:vector>
  </TitlesOfParts>
  <Company>Pine Tree Legal Assistance</Company>
  <LinksUpToDate>false</LinksUpToDate>
  <CharactersWithSpaces>19062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chenegar</dc:creator>
  <cp:keywords/>
  <cp:lastModifiedBy>Thomas A. Cox</cp:lastModifiedBy>
  <cp:revision>2</cp:revision>
  <cp:lastPrinted>2010-05-17T12:14:00Z</cp:lastPrinted>
  <dcterms:created xsi:type="dcterms:W3CDTF">2010-06-27T21:04:00Z</dcterms:created>
  <dcterms:modified xsi:type="dcterms:W3CDTF">2010-06-27T21:04:00Z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1272041322</vt:i4>
  </property>
  <property fmtid="{D5CDD505-2E9C-101B-9397-08002B2CF9AE}" pid="3" name="_NewReviewCycle">
    <vt:lpwstr/>
  </property>
  <property fmtid="{D5CDD505-2E9C-101B-9397-08002B2CF9AE}" pid="4" name="_EmailSubject">
    <vt:lpwstr/>
  </property>
  <property fmtid="{D5CDD505-2E9C-101B-9397-08002B2CF9AE}" pid="5" name="_AuthorEmail">
    <vt:lpwstr>crandall@ptla.org</vt:lpwstr>
  </property>
  <property fmtid="{D5CDD505-2E9C-101B-9397-08002B2CF9AE}" pid="6" name="_AuthorEmailDisplayName">
    <vt:lpwstr>Randall, Chet</vt:lpwstr>
  </property>
</Properties>
</file>