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00" w:type="dxa"/>
        <w:jc w:val="center"/>
        <w:tblCellSpacing w:w="0" w:type="dxa"/>
        <w:tblCellMar>
          <w:left w:w="0" w:type="dxa"/>
          <w:right w:w="0" w:type="dxa"/>
        </w:tblCellMar>
        <w:tblLook w:val="04A0"/>
      </w:tblPr>
      <w:tblGrid>
        <w:gridCol w:w="8700"/>
      </w:tblGrid>
      <w:tr w:rsidR="008D168A" w:rsidRPr="008D168A" w:rsidTr="008D168A">
        <w:trPr>
          <w:tblCellSpacing w:w="0" w:type="dxa"/>
          <w:jc w:val="center"/>
        </w:trPr>
        <w:tc>
          <w:tcPr>
            <w:tcW w:w="0" w:type="auto"/>
            <w:vAlign w:val="center"/>
            <w:hideMark/>
          </w:tcPr>
          <w:p w:rsidR="008D168A" w:rsidRPr="008D168A" w:rsidRDefault="008D168A" w:rsidP="008D168A">
            <w:pPr>
              <w:spacing w:before="100" w:beforeAutospacing="1" w:after="100" w:afterAutospacing="1" w:line="240" w:lineRule="auto"/>
              <w:jc w:val="center"/>
              <w:rPr>
                <w:rFonts w:ascii="Times New Roman" w:eastAsia="Times New Roman" w:hAnsi="Times New Roman" w:cs="Times New Roman"/>
                <w:sz w:val="24"/>
                <w:szCs w:val="24"/>
              </w:rPr>
            </w:pPr>
            <w:r w:rsidRPr="008D168A">
              <w:rPr>
                <w:rFonts w:ascii="Arial" w:eastAsia="Times New Roman" w:hAnsi="Arial" w:cs="Arial"/>
                <w:sz w:val="20"/>
                <w:szCs w:val="20"/>
              </w:rPr>
              <w:t>Gramm-Leach-Bliley Act</w:t>
            </w:r>
            <w:r w:rsidRPr="008D168A">
              <w:rPr>
                <w:rFonts w:ascii="Arial" w:eastAsia="Times New Roman" w:hAnsi="Arial" w:cs="Arial"/>
                <w:sz w:val="20"/>
                <w:szCs w:val="20"/>
              </w:rPr>
              <w:br/>
              <w:t>15 USC, Subchapter I, Sec. 6801-6809</w:t>
            </w:r>
            <w:r w:rsidRPr="008D168A">
              <w:rPr>
                <w:rFonts w:ascii="Arial" w:eastAsia="Times New Roman" w:hAnsi="Arial" w:cs="Arial"/>
                <w:sz w:val="20"/>
                <w:szCs w:val="20"/>
              </w:rPr>
              <w:br/>
              <w:t>Disclosure of Nonpublic Personal Information</w:t>
            </w:r>
          </w:p>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Times New Roman" w:eastAsia="Times New Roman" w:hAnsi="Times New Roman" w:cs="Times New Roman"/>
                <w:sz w:val="24"/>
                <w:szCs w:val="24"/>
              </w:rPr>
              <w:pict>
                <v:rect id="_x0000_i1025" style="width:0;height:1.5pt" o:hralign="center" o:hrstd="t" o:hr="t" fillcolor="gray" stroked="f"/>
              </w:pict>
            </w:r>
          </w:p>
          <w:tbl>
            <w:tblPr>
              <w:tblW w:w="8250" w:type="dxa"/>
              <w:jc w:val="center"/>
              <w:tblCellSpacing w:w="0" w:type="dxa"/>
              <w:tblCellMar>
                <w:top w:w="45" w:type="dxa"/>
                <w:left w:w="45" w:type="dxa"/>
                <w:bottom w:w="45" w:type="dxa"/>
                <w:right w:w="45" w:type="dxa"/>
              </w:tblCellMar>
              <w:tblLook w:val="04A0"/>
            </w:tblPr>
            <w:tblGrid>
              <w:gridCol w:w="705"/>
              <w:gridCol w:w="7545"/>
            </w:tblGrid>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Sec.</w:t>
                  </w:r>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4" w:anchor="6801" w:history="1">
                    <w:r w:rsidRPr="008D168A">
                      <w:rPr>
                        <w:rFonts w:ascii="Arial" w:eastAsia="Times New Roman" w:hAnsi="Arial" w:cs="Arial"/>
                        <w:b/>
                        <w:bCs/>
                        <w:color w:val="004080"/>
                        <w:sz w:val="20"/>
                        <w:u w:val="single"/>
                      </w:rPr>
                      <w:t>6801.</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Protection of nonpublic personal information.</w:t>
                  </w:r>
                </w:p>
              </w:tc>
            </w:tr>
            <w:tr w:rsidR="008D168A" w:rsidRPr="008D168A">
              <w:trPr>
                <w:tblCellSpacing w:w="0" w:type="dxa"/>
                <w:jc w:val="center"/>
              </w:trPr>
              <w:tc>
                <w:tcPr>
                  <w:tcW w:w="705" w:type="dxa"/>
                  <w:vAlign w:val="center"/>
                  <w:hideMark/>
                </w:tcPr>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Times New Roman" w:eastAsia="Times New Roman" w:hAnsi="Times New Roman" w:cs="Times New Roman"/>
                      <w:sz w:val="24"/>
                      <w:szCs w:val="24"/>
                    </w:rPr>
                    <w:t> </w:t>
                  </w:r>
                </w:p>
              </w:tc>
              <w:tc>
                <w:tcPr>
                  <w:tcW w:w="7545" w:type="dxa"/>
                  <w:vAlign w:val="center"/>
                  <w:hideMark/>
                </w:tcPr>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Privacy obligation policy.</w:t>
                  </w:r>
                  <w:r w:rsidRPr="008D168A">
                    <w:rPr>
                      <w:rFonts w:ascii="Arial" w:eastAsia="Times New Roman" w:hAnsi="Arial" w:cs="Arial"/>
                      <w:sz w:val="20"/>
                      <w:szCs w:val="20"/>
                    </w:rPr>
                    <w:br/>
                    <w:t>(b) Financial institutions safeguards.</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5" w:anchor="6802" w:history="1">
                    <w:r w:rsidRPr="008D168A">
                      <w:rPr>
                        <w:rFonts w:ascii="Arial" w:eastAsia="Times New Roman" w:hAnsi="Arial" w:cs="Arial"/>
                        <w:b/>
                        <w:bCs/>
                        <w:color w:val="004080"/>
                        <w:sz w:val="20"/>
                        <w:u w:val="single"/>
                      </w:rPr>
                      <w:t>6802.</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Obligations with respect to disclosures of personal information.</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p>
              </w:tc>
              <w:tc>
                <w:tcPr>
                  <w:tcW w:w="7545" w:type="dxa"/>
                  <w:vAlign w:val="center"/>
                  <w:hideMark/>
                </w:tcPr>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Notice requirements.</w:t>
                  </w:r>
                  <w:r w:rsidRPr="008D168A">
                    <w:rPr>
                      <w:rFonts w:ascii="Arial" w:eastAsia="Times New Roman" w:hAnsi="Arial" w:cs="Arial"/>
                      <w:sz w:val="20"/>
                      <w:szCs w:val="20"/>
                    </w:rPr>
                    <w:br/>
                    <w:t>(b) Opt out.</w:t>
                  </w:r>
                  <w:r w:rsidRPr="008D168A">
                    <w:rPr>
                      <w:rFonts w:ascii="Arial" w:eastAsia="Times New Roman" w:hAnsi="Arial" w:cs="Arial"/>
                      <w:sz w:val="20"/>
                      <w:szCs w:val="20"/>
                    </w:rPr>
                    <w:br/>
                    <w:t>(c) Limits on reuse of information.</w:t>
                  </w:r>
                  <w:r w:rsidRPr="008D168A">
                    <w:rPr>
                      <w:rFonts w:ascii="Arial" w:eastAsia="Times New Roman" w:hAnsi="Arial" w:cs="Arial"/>
                      <w:sz w:val="20"/>
                      <w:szCs w:val="20"/>
                    </w:rPr>
                    <w:br/>
                    <w:t>(d) Limitations on the sharing of account number information for marketing purposes.</w:t>
                  </w:r>
                  <w:r w:rsidRPr="008D168A">
                    <w:rPr>
                      <w:rFonts w:ascii="Arial" w:eastAsia="Times New Roman" w:hAnsi="Arial" w:cs="Arial"/>
                      <w:sz w:val="20"/>
                      <w:szCs w:val="20"/>
                    </w:rPr>
                    <w:br/>
                    <w:t>(e) General exceptions.</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6" w:anchor="6803" w:history="1">
                    <w:r w:rsidRPr="008D168A">
                      <w:rPr>
                        <w:rFonts w:ascii="Arial" w:eastAsia="Times New Roman" w:hAnsi="Arial" w:cs="Arial"/>
                        <w:b/>
                        <w:bCs/>
                        <w:color w:val="004080"/>
                        <w:sz w:val="20"/>
                        <w:u w:val="single"/>
                      </w:rPr>
                      <w:t>6803.</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Disclosure of institution privacy policy.</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p>
              </w:tc>
              <w:tc>
                <w:tcPr>
                  <w:tcW w:w="7545" w:type="dxa"/>
                  <w:vAlign w:val="center"/>
                  <w:hideMark/>
                </w:tcPr>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Disclosure required.</w:t>
                  </w:r>
                  <w:r w:rsidRPr="008D168A">
                    <w:rPr>
                      <w:rFonts w:ascii="Arial" w:eastAsia="Times New Roman" w:hAnsi="Arial" w:cs="Arial"/>
                      <w:sz w:val="20"/>
                      <w:szCs w:val="20"/>
                    </w:rPr>
                    <w:br/>
                    <w:t>(b) Information to be included.</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7" w:anchor="6804" w:history="1">
                    <w:r w:rsidRPr="008D168A">
                      <w:rPr>
                        <w:rFonts w:ascii="Arial" w:eastAsia="Times New Roman" w:hAnsi="Arial" w:cs="Arial"/>
                        <w:b/>
                        <w:bCs/>
                        <w:color w:val="004080"/>
                        <w:sz w:val="20"/>
                        <w:u w:val="single"/>
                      </w:rPr>
                      <w:t>6804.</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Rulemaking.</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p>
              </w:tc>
              <w:tc>
                <w:tcPr>
                  <w:tcW w:w="7545" w:type="dxa"/>
                  <w:vAlign w:val="center"/>
                  <w:hideMark/>
                </w:tcPr>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Regulatory authority.</w:t>
                  </w:r>
                  <w:r w:rsidRPr="008D168A">
                    <w:rPr>
                      <w:rFonts w:ascii="Arial" w:eastAsia="Times New Roman" w:hAnsi="Arial" w:cs="Arial"/>
                      <w:sz w:val="20"/>
                      <w:szCs w:val="20"/>
                    </w:rPr>
                    <w:br/>
                    <w:t>(b) Authority to grant exceptions.</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8" w:anchor="6805" w:history="1">
                    <w:r w:rsidRPr="008D168A">
                      <w:rPr>
                        <w:rFonts w:ascii="Arial" w:eastAsia="Times New Roman" w:hAnsi="Arial" w:cs="Arial"/>
                        <w:b/>
                        <w:bCs/>
                        <w:color w:val="004080"/>
                        <w:sz w:val="20"/>
                        <w:u w:val="single"/>
                      </w:rPr>
                      <w:t>6805.</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Enforcement.</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p>
              </w:tc>
              <w:tc>
                <w:tcPr>
                  <w:tcW w:w="7545" w:type="dxa"/>
                  <w:vAlign w:val="center"/>
                  <w:hideMark/>
                </w:tcPr>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In general.</w:t>
                  </w:r>
                  <w:r w:rsidRPr="008D168A">
                    <w:rPr>
                      <w:rFonts w:ascii="Arial" w:eastAsia="Times New Roman" w:hAnsi="Arial" w:cs="Arial"/>
                      <w:sz w:val="20"/>
                      <w:szCs w:val="20"/>
                    </w:rPr>
                    <w:br/>
                    <w:t>(b) Enforcement of section 6801.</w:t>
                  </w:r>
                  <w:r w:rsidRPr="008D168A">
                    <w:rPr>
                      <w:rFonts w:ascii="Arial" w:eastAsia="Times New Roman" w:hAnsi="Arial" w:cs="Arial"/>
                      <w:sz w:val="20"/>
                      <w:szCs w:val="20"/>
                    </w:rPr>
                    <w:br/>
                    <w:t>(c) Absence of State action.</w:t>
                  </w:r>
                  <w:r w:rsidRPr="008D168A">
                    <w:rPr>
                      <w:rFonts w:ascii="Arial" w:eastAsia="Times New Roman" w:hAnsi="Arial" w:cs="Arial"/>
                      <w:sz w:val="20"/>
                      <w:szCs w:val="20"/>
                    </w:rPr>
                    <w:br/>
                    <w:t>(d) Definitions.</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9" w:anchor="6806" w:history="1">
                    <w:r w:rsidRPr="008D168A">
                      <w:rPr>
                        <w:rFonts w:ascii="Arial" w:eastAsia="Times New Roman" w:hAnsi="Arial" w:cs="Arial"/>
                        <w:b/>
                        <w:bCs/>
                        <w:color w:val="004080"/>
                        <w:sz w:val="20"/>
                        <w:u w:val="single"/>
                      </w:rPr>
                      <w:t>6806.</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Relation to other provisions.</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10" w:anchor="6807" w:history="1">
                    <w:r w:rsidRPr="008D168A">
                      <w:rPr>
                        <w:rFonts w:ascii="Arial" w:eastAsia="Times New Roman" w:hAnsi="Arial" w:cs="Arial"/>
                        <w:b/>
                        <w:bCs/>
                        <w:color w:val="004080"/>
                        <w:sz w:val="20"/>
                        <w:u w:val="single"/>
                      </w:rPr>
                      <w:t>6807.</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Relation to State laws.</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p>
              </w:tc>
              <w:tc>
                <w:tcPr>
                  <w:tcW w:w="7545" w:type="dxa"/>
                  <w:vAlign w:val="center"/>
                  <w:hideMark/>
                </w:tcPr>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In general.</w:t>
                  </w:r>
                  <w:r w:rsidRPr="008D168A">
                    <w:rPr>
                      <w:rFonts w:ascii="Arial" w:eastAsia="Times New Roman" w:hAnsi="Arial" w:cs="Arial"/>
                      <w:sz w:val="20"/>
                      <w:szCs w:val="20"/>
                    </w:rPr>
                    <w:br/>
                    <w:t>(b) Greater protection under State law.</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11" w:anchor="6808" w:history="1">
                    <w:r w:rsidRPr="008D168A">
                      <w:rPr>
                        <w:rFonts w:ascii="Arial" w:eastAsia="Times New Roman" w:hAnsi="Arial" w:cs="Arial"/>
                        <w:b/>
                        <w:bCs/>
                        <w:color w:val="004080"/>
                        <w:sz w:val="20"/>
                        <w:u w:val="single"/>
                      </w:rPr>
                      <w:t>6808.</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Study of information sharing among financial affiliates.</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p>
              </w:tc>
              <w:tc>
                <w:tcPr>
                  <w:tcW w:w="7545" w:type="dxa"/>
                  <w:vAlign w:val="center"/>
                  <w:hideMark/>
                </w:tcPr>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In general.</w:t>
                  </w:r>
                  <w:r w:rsidRPr="008D168A">
                    <w:rPr>
                      <w:rFonts w:ascii="Arial" w:eastAsia="Times New Roman" w:hAnsi="Arial" w:cs="Arial"/>
                      <w:sz w:val="20"/>
                      <w:szCs w:val="20"/>
                    </w:rPr>
                    <w:br/>
                    <w:t>(b) Consultation.</w:t>
                  </w:r>
                  <w:r w:rsidRPr="008D168A">
                    <w:rPr>
                      <w:rFonts w:ascii="Arial" w:eastAsia="Times New Roman" w:hAnsi="Arial" w:cs="Arial"/>
                      <w:sz w:val="20"/>
                      <w:szCs w:val="20"/>
                    </w:rPr>
                    <w:br/>
                    <w:t>(c) Report.</w:t>
                  </w:r>
                </w:p>
              </w:tc>
            </w:tr>
            <w:tr w:rsidR="008D168A" w:rsidRPr="008D168A">
              <w:trPr>
                <w:tblCellSpacing w:w="0" w:type="dxa"/>
                <w:jc w:val="center"/>
              </w:trPr>
              <w:tc>
                <w:tcPr>
                  <w:tcW w:w="70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hyperlink r:id="rId12" w:anchor="6809" w:history="1">
                    <w:r w:rsidRPr="008D168A">
                      <w:rPr>
                        <w:rFonts w:ascii="Arial" w:eastAsia="Times New Roman" w:hAnsi="Arial" w:cs="Arial"/>
                        <w:b/>
                        <w:bCs/>
                        <w:color w:val="004080"/>
                        <w:sz w:val="20"/>
                        <w:u w:val="single"/>
                      </w:rPr>
                      <w:t>6809.</w:t>
                    </w:r>
                  </w:hyperlink>
                </w:p>
              </w:tc>
              <w:tc>
                <w:tcPr>
                  <w:tcW w:w="7545" w:type="dxa"/>
                  <w:vAlign w:val="center"/>
                  <w:hideMark/>
                </w:tcPr>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Arial" w:eastAsia="Times New Roman" w:hAnsi="Arial" w:cs="Arial"/>
                      <w:b/>
                      <w:bCs/>
                      <w:sz w:val="20"/>
                    </w:rPr>
                    <w:t>Definitions.</w:t>
                  </w:r>
                </w:p>
              </w:tc>
            </w:tr>
          </w:tbl>
          <w:p w:rsidR="008D168A" w:rsidRPr="008D168A" w:rsidRDefault="008D168A" w:rsidP="008D168A">
            <w:pPr>
              <w:spacing w:after="0" w:line="240" w:lineRule="auto"/>
              <w:rPr>
                <w:rFonts w:ascii="Times New Roman" w:eastAsia="Times New Roman" w:hAnsi="Times New Roman" w:cs="Times New Roman"/>
                <w:sz w:val="24"/>
                <w:szCs w:val="24"/>
              </w:rPr>
            </w:pPr>
            <w:r w:rsidRPr="008D168A">
              <w:rPr>
                <w:rFonts w:ascii="Times New Roman" w:eastAsia="Times New Roman" w:hAnsi="Times New Roman" w:cs="Times New Roman"/>
                <w:sz w:val="24"/>
                <w:szCs w:val="24"/>
              </w:rPr>
              <w:pict>
                <v:rect id="_x0000_i1026" style="width:0;height:1.5pt" o:hralign="center" o:hrstd="t" o:hr="t" fillcolor="gray" stroked="f"/>
              </w:pic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0" w:name="6801"/>
            <w:r w:rsidRPr="008D168A">
              <w:rPr>
                <w:rFonts w:ascii="Arial" w:eastAsia="Times New Roman" w:hAnsi="Arial" w:cs="Arial"/>
                <w:b/>
                <w:bCs/>
                <w:sz w:val="20"/>
              </w:rPr>
              <w:t>Sec. 6801. Protection of nonpublic personal information</w:t>
            </w:r>
            <w:bookmarkEnd w:id="0"/>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Privacy obligation policy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It is the policy of the Congress that each financial institution has an affirmative and continuing obligation to respect the privacy of its customers and to protect the security and confidentiality of those customers' nonpublic personal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lastRenderedPageBreak/>
              <w:t>(b) Financial institutions safeguards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In furtherance of the policy in subsection (a) of this section, each agency or authority described in section 6805(a) of this title shall establish appropriate standards for the financial institutions subject to their jurisdiction relating to administrative, technical, and physical safeguards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to insure the security and confidentiality of customer records and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(2) to protect against any anticipated threats or hazards to the security or integrity of such records; and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(3) to protect against unauthorized access to or use of such records or information which could result in substantial harm or inconvenience to any customer.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SECTION REFERRED TO IN OTHER SECTIONS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section is referred to in sections 6803, 6805 of this title.</w:t>
            </w:r>
          </w:p>
          <w:p w:rsidR="008D168A" w:rsidRPr="008D168A" w:rsidRDefault="008D168A" w:rsidP="008D168A">
            <w:pPr>
              <w:spacing w:before="100" w:beforeAutospacing="1" w:after="100" w:afterAutospacing="1" w:line="240" w:lineRule="auto"/>
              <w:rPr>
                <w:rFonts w:ascii="Arial" w:eastAsia="Times New Roman" w:hAnsi="Arial" w:cs="Arial"/>
                <w:sz w:val="20"/>
                <w:szCs w:val="20"/>
              </w:rPr>
            </w:pPr>
            <w:r w:rsidRPr="008D168A">
              <w:rPr>
                <w:rFonts w:ascii="Arial" w:eastAsia="Times New Roman" w:hAnsi="Arial" w:cs="Arial"/>
                <w:b/>
                <w:bCs/>
                <w:sz w:val="20"/>
                <w:szCs w:val="20"/>
              </w:rPr>
              <w:t xml:space="preserve">NOTE: </w:t>
            </w:r>
            <w:r w:rsidRPr="008D168A">
              <w:rPr>
                <w:rFonts w:ascii="Arial" w:eastAsia="Times New Roman" w:hAnsi="Arial" w:cs="Arial"/>
                <w:sz w:val="20"/>
                <w:szCs w:val="20"/>
              </w:rPr>
              <w:t>Pub. L. 106-102, title V, Sec. 510, Nov. 12, 1999, 113 Stat. 1445, provided that: ''This subtitle (subtitle A (Sec. 501-510) of title V of Pub. L. 106-102, enacting this subchapter and amending section 1681s of this title) shall take effect 6 months after the date on which rules are required to be prescribed under section 504(a)(3) (15 U.S.C. 6804(a)(3)), except -</w:t>
            </w:r>
          </w:p>
          <w:p w:rsidR="008D168A" w:rsidRPr="008D168A" w:rsidRDefault="008D168A" w:rsidP="008D168A">
            <w:pPr>
              <w:spacing w:beforeAutospacing="1" w:after="100" w:afterAutospacing="1" w:line="240" w:lineRule="auto"/>
              <w:rPr>
                <w:rFonts w:ascii="Arial" w:eastAsia="Times New Roman" w:hAnsi="Arial" w:cs="Arial"/>
                <w:sz w:val="20"/>
                <w:szCs w:val="20"/>
              </w:rPr>
            </w:pPr>
            <w:r w:rsidRPr="008D168A">
              <w:rPr>
                <w:rFonts w:ascii="Arial" w:eastAsia="Times New Roman" w:hAnsi="Arial" w:cs="Arial"/>
                <w:sz w:val="20"/>
                <w:szCs w:val="20"/>
              </w:rPr>
              <w:t>''(1) to the extent that a later date is specified in the rules prescribed under section 504; and</w:t>
            </w:r>
          </w:p>
          <w:p w:rsidR="008D168A" w:rsidRPr="008D168A" w:rsidRDefault="008D168A" w:rsidP="008D168A">
            <w:pPr>
              <w:spacing w:before="100" w:beforeAutospacing="1" w:after="100" w:afterAutospacing="1" w:line="240" w:lineRule="auto"/>
              <w:rPr>
                <w:rFonts w:ascii="Arial" w:eastAsia="Times New Roman" w:hAnsi="Arial" w:cs="Arial"/>
                <w:sz w:val="20"/>
                <w:szCs w:val="20"/>
              </w:rPr>
            </w:pPr>
            <w:r w:rsidRPr="008D168A">
              <w:rPr>
                <w:rFonts w:ascii="Arial" w:eastAsia="Times New Roman" w:hAnsi="Arial" w:cs="Arial"/>
                <w:sz w:val="20"/>
                <w:szCs w:val="20"/>
              </w:rPr>
              <w:t>''(2) that sections 504 (15 U.S.C. 6804) and 506 (enacting section 6806 of this title and amending section 1681s of this title) shall be effective upon enactment (Nov. 12, 1999).''</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1" w:name="6802"/>
            <w:r w:rsidRPr="008D168A">
              <w:rPr>
                <w:rFonts w:ascii="Arial" w:eastAsia="Times New Roman" w:hAnsi="Arial" w:cs="Arial"/>
                <w:b/>
                <w:bCs/>
                <w:sz w:val="20"/>
              </w:rPr>
              <w:t>Sec. 6802. Obligations with respect to disclosures of personal information</w:t>
            </w:r>
            <w:bookmarkEnd w:id="1"/>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Notice requirements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Except as otherwise provided in this subchapter, a financial institution may not, directly or through any affiliate, disclose to a nonaffiliated third party any nonpublic personal information, unless such financial institution provides or has provided to the consumer a notice that complies with section 6803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Opt out</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In general</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financial institution may not disclose nonpublic personal information to a nonaffiliated third party unless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such financial institution clearly and conspicuously discloses to the consumer, in writing or in electronic form or other form permitted by the regulations prescribed under section 6804 of this title, that such information may be disclosed to such third party;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the consumer is given the opportunity, before the time that such information is initially disclosed, to direct that such information not be disclosed to such third party; and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(C) the consumer is given an explanation of how the consumer can exercise that nondisclosure </w:t>
            </w:r>
            <w:r w:rsidRPr="008D168A">
              <w:rPr>
                <w:rFonts w:ascii="Arial" w:eastAsia="Times New Roman" w:hAnsi="Arial" w:cs="Arial"/>
                <w:sz w:val="20"/>
                <w:szCs w:val="20"/>
              </w:rPr>
              <w:lastRenderedPageBreak/>
              <w:t>option.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(2) Exception</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subsection shall not prevent a financial institution from providing nonpublic personal information to a nonaffiliated third party to perform services for or functions on behalf of the financial institution, including marketing of the financial institution's own products or services, or financial products or services offered pursuant to joint agreements between two or more financial institutions that comply with the requirements imposed by the regulations prescribed under section 6804 of this title, if the financial institution fully discloses the providing of such information and enters into a contractual agreement with the third party that requires the third party to maintain the confidentiality of such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(c) Limits on reuse of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Except as otherwise provided in this subchapter, a nonaffiliated third party that receives from a financial institution nonpublic personal information under this section shall not, directly or through an affiliate of such receiving third party, disclose such information to any other person that is a nonaffiliated third party of both the financial institution and such receiving third party, unless such disclosure would be lawful if made directly to such other person by the financial institution.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(d) Limitations on the sharing of account number information for marketing purposes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financial institution shall not disclose, other than to a consumer reporting agency, an account number or similar form of access number or access code for a credit card account, deposit account, or transaction account of a consumer to any nonaffiliated third party for use in telemarketing, direct mail marketing, or other marketing through electronic mail to the consumer.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(e) General exceptions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Subsections (a) and (b) of this section shall not prohibit the disclosure of nonpublic personal information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as necessary to effect, administer, or enforce a transaction requested or authorized by the consumer, or in connection with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servicing or processing a financial product or service requested or authorized by the consumer;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maintaining or servicing the consumer's account with the financial institution, or with another entity as part of a private label credit card program or other extension of credit on behalf of such entity; or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(C) a proposed or actual securitization, secondary market sale (including sales of servicing rights), or similar transaction related to a transaction of the consumer;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(2) with the consent or at the direction of the consumer;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(3)(A) to protect the confidentiality or security of the financial institution's records pertaining to the consumer, the service or product, or the transaction therein; (B) to protect against or prevent actual or potential fraud, unauthorized transactions, claims, or other liability; (C) for required institutional risk control, or for resolving customer disputes or inquiries; (D) to persons holding a legal or beneficial interest relating to the consumer; or (E) to persons acting in a fiduciary or </w:t>
            </w:r>
            <w:r w:rsidRPr="008D168A">
              <w:rPr>
                <w:rFonts w:ascii="Arial" w:eastAsia="Times New Roman" w:hAnsi="Arial" w:cs="Arial"/>
                <w:sz w:val="20"/>
                <w:szCs w:val="20"/>
              </w:rPr>
              <w:lastRenderedPageBreak/>
              <w:t>representative capacity on behalf of the consumer;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(4) to provide information to insurance rate advisory organizations, guaranty funds or agencies, applicable rating agencies of the financial institution, persons assessing the institution's compliance with industry standards, and the institution's attorneys, accountants, and auditors;</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(5) to the extent specifically permitted or required under other provisions of law and in accordance with the Right to Financial Privacy Act of 1978 (12 U.S.C. 3401 et seq.), to law enforcement agencies (including a Federal functional regulator, the Secretary of the Treasury with respect to subchapter II of chapter 53 of title 31, and chapter 2 of title I of Public Law 91-508 (12 U.S.C. 1951-1959), a State insurance authority, or the Federal Trade Commission), self-regulatory organizations, or for an investigation on a matter related to public safety;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(6)(A) to a consumer reporting agency in accordance with the Fair Credit Reporting Act (15 U.S.C. 1681 et seq.), or (B) from a consumer report reported by a consumer reporting agency;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(7) in connection with a proposed or actual sale, merger, transfer, or exchange of all or a portion of a business or operating unit if the disclosure of nonpublic personal information concerns solely consumers of such business or unit; or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(8) to comply with Federal, State, or local laws, rules, and other applicable legal requirements; to comply with a properly authorized civil, criminal, or regulatory investigation or subpoena or summons by Federal, State, or local authorities; or to respond to judicial process or government regulatory authorities having jurisdiction over the financial institution for examination, compliance, or other purposes as authorized by law.</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(Pub. L. 106-102, title V, Sec. 502, Nov. 12, 1999, 113 Stat. 1437.)</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REFERENCES IN TEXT</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subchapter, referred to in subsecs. (a) and (c), was in the original ''this subtitle'', meaning subtitle A (Sec. 501 et seq.) of title V of Pub. L. 106-102, Nov. 12, 1999, 113 Stat. 1436, which enacted this subchapter and amended section 1681s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For complete classification of subtitle A to the Code, see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Right to Financial Privacy Act of 1978, referred to in subsec. (e)(5), is title XI of Pub. L. 95-630, Nov. 10, 1978, 92 Stat. 3697, as amended, which is classified generally to chapter 35 (Sec. 3401 et seq.) of Title 12, Banks and Banking. For complete classification of this Act to the Code, see Short Title note set out under section 3401 of Title 12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Chapter 2 of title I of Public Law 91-508, referred to in subsec. (e)(5), is chapter 2 (Sec. 121-129) of title I of Pub. L. 91-508, Oct. 26, 1970, 84 Stat. 1116, which is classified generally to chapter 21 (Sec. 1951 et seq.) of Title 12, Banks and Banking. For complete classification of chapter 2 to the Code, see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Fair Credit Reporting Act, referred to in subsec. (e)(6)(A), is title VI of Pub. L. 90-321, as added by Pub. L. 91-508, title VI, Sec. 601, Oct. 26, 1970, 84 Stat. 1127, as amended, which is classified generally to subchapter III (Sec. 1681 et seq.) of chapter 41 of this title. For complete classification of this Act to the Code, see Short Title note set out under section 1601 of this title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lastRenderedPageBreak/>
              <w:t>SECTION REFERRED TO IN OTHER SECTIONS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section is referred to in sections 6803, 6804, 6809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2" w:name="6803"/>
            <w:r w:rsidRPr="008D168A">
              <w:rPr>
                <w:rFonts w:ascii="Arial" w:eastAsia="Times New Roman" w:hAnsi="Arial" w:cs="Arial"/>
                <w:b/>
                <w:bCs/>
                <w:sz w:val="20"/>
              </w:rPr>
              <w:t>Sec. 6803. Disclosure of institution privacy policy</w:t>
            </w:r>
            <w:bookmarkEnd w:id="2"/>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Disclosure required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At the time of establishing a customer relationship with a consumer and not less than annually during the continuation of such relationship, a financial institution shall provide a clear and conspicuous disclosure to such consumer, in writing or in electronic form or other form permitted by the regulations prescribed under section 6804 of this title, of such financial institution's policies and practices with respect to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disclosing nonpublic personal information to affiliates and nonaffiliated third parties, consistent with section 6802 of this title, including the categories of information that may be disclosed;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(2) disclosing nonpublic personal information of persons who have ceased to be customers of the financial institution; and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(3) protecting the nonpublic personal information of consumers.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Such disclosures shall be made in accordance with the regulations prescribed under section 6804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Information to be included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disclosure required by subsection (a) of this section shall include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the policies and practices of the institution with respect to disclosing nonpublic personal information to nonaffiliated third parties, other than agents of the institution, consistent with section 6802 of this title, and including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the categories of persons to whom the information is or may be disclosed, other than the persons to whom the information may be provided pursuant to section 6802(e) of this title; and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the policies and practices of the institution with respect to disclosing of nonpublic personal information of persons who have ceased to be customers of the financial institution;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(2) the categories of nonpublic personal information that are collected by the financial institution;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(3) the policies that the institution maintains to protect the confidentiality and security of nonpublic personal information in accordance with section 6801 of this title; and </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(4) the disclosures required, if any, under section 1681a(d)(2)(A)(iii)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(Pub. L. 106-102, title V, Sec. 503, Nov. 12, 1999, 113 Stat. 1439.)</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SECTION REFERRED TO IN OTHER SECTIONS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section is referred to in section 6802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3" w:name="6804"/>
            <w:r w:rsidRPr="008D168A">
              <w:rPr>
                <w:rFonts w:ascii="Arial" w:eastAsia="Times New Roman" w:hAnsi="Arial" w:cs="Arial"/>
                <w:b/>
                <w:bCs/>
                <w:sz w:val="20"/>
              </w:rPr>
              <w:lastRenderedPageBreak/>
              <w:t>Sec. 6804. Rulemaking</w:t>
            </w:r>
            <w:bookmarkEnd w:id="3"/>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Regulatory authority</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Rulemaking</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Federal banking agencies, the National Credit Union Administration, the Secretary of the Treasury, the Securities and Exchange Commission, and the Federal Trade Commission shall each prescribe, after consultation as appropriate with representatives of State insurance authorities designated by the National Association of Insurance Commissioners, such regulations  as may be necessary to carry out the purposes of this subchapter with respect to the financial institutions subject to their jurisdiction under section 6805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(2) Coordination, consistency, and comparability </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Each of the agencies and authorities required under paragraph (1) to prescribe regulations shall consult and coordinate with the other such agencies and authorities for the purposes of assuring, to the extent possible, that the regulations prescribed by each such agency and authority are consistent and comparable with the regulations prescribed by the other such agencies and authorities.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(3) Procedures and deadline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Such regulations shall be prescribed in accordance with applicable requirements of title 5 and shall be issued in final form not later than 6 months after November 12, 1999.</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Authority to grant exceptions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regulations prescribed under subsection (a) of this section may include such additional exceptions to subsections (a) through (d) of section 6802 of this title as are deemed consistent with the purposes of this subchapter.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(Pub. L. 106-102, title V, Sec. 504, Nov. 12, 1999, 113 Stat.1439.)</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SECTION REFERRED TO IN OTHER SECTIONS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section is referred to in sections 6802, 6803, 6809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4" w:name="6805"/>
            <w:r w:rsidRPr="008D168A">
              <w:rPr>
                <w:rFonts w:ascii="Arial" w:eastAsia="Times New Roman" w:hAnsi="Arial" w:cs="Arial"/>
                <w:b/>
                <w:bCs/>
                <w:sz w:val="20"/>
              </w:rPr>
              <w:t>Sec. 6805. Enforcement</w:t>
            </w:r>
            <w:bookmarkEnd w:id="4"/>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In general</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subchapter and the regulations prescribed thereunder shall be enforced by the Federal functional regulators, the State insurance authorities, and the Federal Trade Commission with respect to financial institutions and other persons subject to their jurisdiction under applicable law, as follows:</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(1) Under section 1818 of title 12, in the case of -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(A) national banks, Federal branches and Federal agencies of foreign banks, and any subsidiaries of such entities (except brokers, dealers, persons providing insurance, investment companies, and </w:t>
            </w:r>
            <w:r w:rsidRPr="008D168A">
              <w:rPr>
                <w:rFonts w:ascii="Arial" w:eastAsia="Times New Roman" w:hAnsi="Arial" w:cs="Arial"/>
                <w:sz w:val="20"/>
                <w:szCs w:val="20"/>
              </w:rPr>
              <w:lastRenderedPageBreak/>
              <w:t>investment advisers), by the Office of the Comptroller of the Currency;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member banks of the Federal Reserve System (other than national banks), branches and agencies of foreign banks (other than Federal branches, Federal agencies, and insured State branches of foreign banks), commercial lending companies owned or controlled by foreign banks, organizations operating under section 25 or 25A of the Federal Reserve Act (12 U.S.C. 601 et seq., 611 et seq.), and bank holding companies and their nonbank subsidiaries or affiliates (except brokers, dealers, persons providing insurance, investment companies, and investment advisers), by the Board of Governors of the Federal Reserve System;</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(C) banks insured by the Federal Deposit Insurance Corporation (other than members of the Federal Reserve System), insured State branches of foreign banks, and any subsidiaries of such entities (except brokers, dealers, persons providing insurance, investment companies, and investment advisers), by the Board of Directors of the Federal Deposit Insurance Corporation; and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(D) savings associations the deposits of which are insured by the Federal Deposit Insurance Corporation, and any subsidiaries of such savings associations (except brokers, dealers, persons providing insurance, investment companies, and investment advisers), by the Director of the Office of Thrift Supervision.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(2) Under the Federal Credit Union Act (12 U.S.C. 1751 et seq.), by the Board of the National Credit Union Administration with respect to any federally insured credit union, and any subsidiaries of such an entity.</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(3) Under the Securities Exchange Act of 1934 (15 U.S.C. 78a et seq.), by the Securities and Exchange Commission with respect to any broker or dealer.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(4) Under the Investment Company Act of 1940 (15 U.S.C. 80a-1 et seq.), by the Securities and Exchange Commission with respect to investment companies.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(5) Under the Investment Advisers Act of 1940 (15 U.S.C. 80b-1</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et seq.), by the Securities and Exchange Commission with respect to investment advisers registered with the Commission under such Act.</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(6) Under State insurance law, in the case of any person engaged in providing insurance, by the applicable State insurance authority of the State in which the person is domiciled, subject to section 6701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(7) Under the Federal Trade Commission Act (15 U.S.C. 41 et seq.), by the Federal Trade Commission for any other financial institution or other person that is not subject to the jurisdiction of any agency or authority under paragraphs (1) through (6) of this subsection.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Enforcement of section 6801</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In general</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Except as provided in paragraph (2), the agencies and authorities described in subsection (a) of this section shall implement the standards prescribed under section 6801(b) of this title in the same manner, to the extent practicable, as standards prescribed pursuant to section 1831p-1(a) of title 12 are implemented pursuant to such section.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lastRenderedPageBreak/>
              <w:t>(2) Exception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agencies and authorities described in paragraphs (3), (4), (5), (6), and (7) of subsection (a) of this section shall implement the standards prescribed under section 6801(b) of this title by rule with respect to the financial institutions and other persons subject to their respective jurisdictions under subsection (a) of this section.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(c) Absence of State action </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If a State insurance authority fails to adopt regulations to carry out this subchapter, such State shall not be eligible to override, pursuant to section 1831x(g)(2)(B)(iii) of title 12, the insurance customer protection regulations prescribed by a Federal banking agency under section 1831x(a) of title 12.</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(d) Definitions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terms used in subsection (a)(1) of this section that are not defined in this subchapter or otherwise defined in section 1813(s) of title 12 shall have the same meaning as given in section 3101 of title 12.</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(Pub. L. 106-102, title V, Sec. 505, Nov. 12, 1999, 113 Stat. 1440.)</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REFERENCES IN TEXT</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Section 25 of the Federal Reserve Act, referred to in subsec. (a)(1)(B), is classified to subchapter I (Sec. 601 et seq.) of chapter 6 of Title 12, Banks and Banking. Section 25A of the Federal Reserve Act is classified to subchapter II (Sec. 611 et seq.) of chapter 6 of Title 12.</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Federal Credit Union Act, referred to in subsec. (a)(2), is act June 26, 1934, ch. 750, 48 Stat. 1216, as amended, which is classified generally to chapter 14 (Sec. 1751 et seq.) of Title 12, Banks and Banking. For complete classification of this Act to the Code, see section 1751 of Title 12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Securities Exchange Act of 1934, referred to in subsec. (a)(3), is act June 6, 1934, ch. 404, 48 Stat. 881, as amended, which is classified principally to chapter 2B (Sec. 78a et seq.) of this title. For complete classification of this Act to the Code, see section 78a of this title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Investment Company Act of 1940, referred to in subsec. (a)(4), is title I of act Aug. 22, 1940, ch. 686, 54 Stat. 789, as amended, which is classified generally to subchapter I (Sec. 80a-1 et seq.) of chapter 2D of this title. For complete classification of this Act to the Code, see section 80a-51 of this title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Investment Advisers Act of 1940, referred to in subsec. (a)(5), is title II of act Aug. 22, 1940, ch. 686, 54 Stat. 847, as amended, which is classified generally to subchapter II (Sec. 80b-1 et seq.) of chapter 2D of this title. For complete classification of this Act to the Code, see section 80b-20 of this title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Federal Trade Commission Act, referred to in subsec. (a)(7), is act Sept. 26, 1914, ch. 311, 38 Stat. 717, as amended, which is classified generally to subchapter I (Sec. 41 et seq.) of chapter 2 of this title. For complete classification of this Act to the Code, see section 58 of this title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lastRenderedPageBreak/>
              <w:t>SECTION REFERRED TO IN OTHER SECTIONS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section is referred to in sections 6801, 6804, 6807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5" w:name="6806"/>
            <w:r w:rsidRPr="008D168A">
              <w:rPr>
                <w:rFonts w:ascii="Arial" w:eastAsia="Times New Roman" w:hAnsi="Arial" w:cs="Arial"/>
                <w:b/>
                <w:bCs/>
                <w:sz w:val="20"/>
              </w:rPr>
              <w:t>Sec. 6806. Relation to other provisions</w:t>
            </w:r>
            <w:bookmarkEnd w:id="5"/>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Except for the amendments made by subsections (a) and (b), nothing in this chapter shall be construed to modify, limit, or supersede the operation of the Fair Credit Reporting Act (15 U.S.C. 1681 et seq.), and no inference shall be drawn on the basis of the provisions of this chapter regarding whether information is transaction or experience information under section 603 of such Act (15 U.S.C. 1681a).</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(Pub. L. 106-102, title V, Sec. 506(c), Nov. 12, 1999, 113 Stat. 1442.)</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REFERENCES IN TEXT</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Amendments made by subsections (a) and (b), referred to in text, means amendments made by section 506(a) and (b) of Pub. L. 106-102, which amended section 1681s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chapter, referred to in text, was in the original ''this title'', meaning title V of Pub. L. 106-102, Nov. 12, 1999, 113 Stat. 1436, as amended, which enacted this chapter and amended section 1681s of this title. For complete classification of title V to the Code, see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Fair Credit Reporting Act, referred to in text, is title VI of Pub. L. 90-321, as added by Pub. L. 91-508, title VI, Sec. 601, Oct. 26, 1970, 84 Stat. 1127, as amended, which is classified generally to subchapter III (Sec. 1681 et seq.) of chapter 41 of this title. For complete classification of this Act to the Code, see Short Title note set out under section 1601 of this title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6" w:name="6807"/>
            <w:r w:rsidRPr="008D168A">
              <w:rPr>
                <w:rFonts w:ascii="Arial" w:eastAsia="Times New Roman" w:hAnsi="Arial" w:cs="Arial"/>
                <w:b/>
                <w:bCs/>
                <w:sz w:val="20"/>
              </w:rPr>
              <w:t>Sec. 6807. Relation to State laws</w:t>
            </w:r>
            <w:bookmarkEnd w:id="6"/>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In general</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This subchapter and the amendments made by this subchapter shall not be construed as superseding, altering, or affecting any statute, regulation, order, or interpretation in effect in any State, except to the extent that such statute, regulation, order, or interpretation is inconsistent with the provisions of this subchapter, and then only to the extent of the inconsistency.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Greater protection under State law</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For purposes of this section, a State statute, regulation, order, or interpretation is not inconsistent with the provisions of this subchapter if the protection such statute, regulation, order, or interpretation affords any person is greater than the protection provided under this subchapter and the amendments made by this subchapter, as determined by  the Federal Trade Commission, after consultation with the agency or authority with jurisdiction under section 6805(a) of this title of either the person that initiated the complaint or that is the subject of the complaint, on its own motion or upon the petition of any interested party.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(Pub. L. 106-102, title V, Sec. 507, Nov. 12, 1999, 113 Stat. 1442.)</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REFERENCES IN TEXT</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This subchapter, referred to in text, was in the original ''this subtitle'', meaning subtitle A (Sec. </w:t>
            </w:r>
            <w:r w:rsidRPr="008D168A">
              <w:rPr>
                <w:rFonts w:ascii="Arial" w:eastAsia="Times New Roman" w:hAnsi="Arial" w:cs="Arial"/>
                <w:sz w:val="20"/>
                <w:szCs w:val="20"/>
              </w:rPr>
              <w:lastRenderedPageBreak/>
              <w:t>501-510) of title V of Pub. L. 106-102, Nov. 12, 1999, 113 Stat. 1436, which enacted this subchapter and amended section 1681s of this title. For complete classification of subtitle A to the Code, see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7" w:name="6808"/>
            <w:r w:rsidRPr="008D168A">
              <w:rPr>
                <w:rFonts w:ascii="Arial" w:eastAsia="Times New Roman" w:hAnsi="Arial" w:cs="Arial"/>
                <w:b/>
                <w:bCs/>
                <w:sz w:val="20"/>
              </w:rPr>
              <w:t>Sec. 6808. Study of information sharing among financial affiliates</w:t>
            </w:r>
            <w:bookmarkEnd w:id="7"/>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In general</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Secretary of the Treasury, in conjunction with the Federal functional regulators and the Federal Trade Commission, shall conduct a study of information sharing practices among financial institutions and their affiliates. Such study shall include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the purposes for the sharing of confidential customer information with affiliates or with nonaffiliated third parties;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(2) the extent and adequacy of security protections for such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(3) the potential risks for customer privacy of such sharing of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(4) the potential benefits for financial institutions and affiliates of such sharing of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(5) the potential benefits for customers of such sharing of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(6) the adequacy of existing laws to protect customer privacy;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(7) the adequacy of financial institution privacy policy and privacy rights disclosure under existing law; </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(8) the feasibility of different approaches, including opt-out and opt-in, to permit customers to direct that confidential information not be shared with affiliates and nonaffiliated third parties; and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(9) the feasibility of restricting sharing of information for specific uses or of permitting customers to direct the uses for which information may be shared.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Consultation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Secretary shall consult with representatives of State insurance authorities designated by the National Association of Insurance Commissioners, and also with financial services industry, consumer organizations and privacy groups, and other representatives of the general public, in formulating and conducting the study required by subsection (a) of this section.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(c) Report</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On or before January 1, 2002, the Secretary shall submit a report to the Congress containing the findings and conclusions of the study required under subsection (a) of this section, together with such recommendations for legislative or administrative action as may be appropriate.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(Pub. L. 106-102, title V, Sec. 508, Nov. 12, 1999, 113 Stat.1442.)</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bookmarkStart w:id="8" w:name="6809"/>
            <w:r w:rsidRPr="008D168A">
              <w:rPr>
                <w:rFonts w:ascii="Arial" w:eastAsia="Times New Roman" w:hAnsi="Arial" w:cs="Arial"/>
                <w:b/>
                <w:bCs/>
                <w:sz w:val="20"/>
              </w:rPr>
              <w:t>Sec. 6809. Definitions</w:t>
            </w:r>
            <w:bookmarkEnd w:id="8"/>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lastRenderedPageBreak/>
              <w:t>As used in this subchapter:</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 Federal banking agency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''Federal banking agency'' has the same meaning as given in section 1813 of title 12.</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(2) Federal functional regulator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''Federal functional regulator'' means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the Board of Governors of the Federal Reserve System;</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the Office of the Comptroller of the Currency;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(C) the Board of Directors of the Federal Deposit Insurance Corporation;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(D) the Director of the Office of Thrift Supervision;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(E) the National Credit Union Administration Board; and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(F) the Securities and Exchange Commission.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(3) Financial institution</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In general</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''financial institution'' means any institution the business of which is engaging in financial activities as described in section 1843(k) of title 12.</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Persons subject to CFTC regulation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Notwithstanding subparagraph (A), the term ''financial institution'' does not include any person or entity with respect to any financial activity that is subject to the jurisdiction of the Commodity Futures Trading Commission under the Commodity Exchange Act (7 U.S.C. 1 et seq.).</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(C) Farm credit institutions </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Notwithstanding subparagraph (A), the term ''financial institution'' does not include the Federal Agricultural Mortgage Corporation or any entity chartered and operating under the Farm Credit Act of 1971 (12 U.S.C. 2001 et seq.).</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(D) Other secondary market institutions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Notwithstanding subparagraph (A), the term ''financial institution'' does not include institutions chartered by Congress specifically to engage in transactions described in section 6802(e)(1)(C) of this title, as long as such institutions do not sell or transfer nonpublic personal information to a nonaffiliated third party.</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(4) Nonpublic personal information</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lastRenderedPageBreak/>
              <w:t>(A) The term ''nonpublic personal information'' means personally identifiable financial information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 provided by a consumer to a financial institution;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(ii) resulting from any transaction with the consumer or any service performed for the consumer; or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(iii) otherwise obtained by the financial institution.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Such term does not include publicly available information, as such term is defined by the regulations prescribed under section 6804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(C) Notwithstanding subparagraph (B), such term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 shall include any list, description, or other grouping of consumers (and publicly available information pertaining to them) that is derived using any nonpublic personal information other than publicly available information; but</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(ii) shall not include any list, description, or other grouping of consumers (and publicly available information pertaining to them) that is derived without using any nonpublic personal information.</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(5) Nonaffiliated third party</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''nonaffiliated third party'' means any entity that is not an affiliate of, or related by common ownership or affiliated by corporate control with, the financial institution, but does not include a joint employee of such institution.</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(6) Affiliate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''affiliate'' means any company that controls, is controlled by, or is under common control with another company.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(7) Necessary to effect, administer, or enforce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''as necessary to effect, administer, or enforce the transaction'' means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(A) the disclosure is required, or is a usual, appropriate, or acceptable method, to carry out the transaction or the product or service business of which the transaction is a part, and record or service or maintain the consumer's account in the ordinary course of providing the financial service or financial product, or to administer or service benefits or claims relating to the transaction or the product or service business of which it is a part, and includes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 providing the consumer or the consumer's agent or broker with a confirmation, statement, or other record of the transaction, or information on the status or value of the financial service or financial product; and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(ii) the accrual or recognition of incentives or bonuses associated with the transaction that are provided by the financial institution or any other party;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(B) the disclosure is required, or is one of the lawful or appropriate methods, to enforce the rights of the financial institution or of other persons engaged in carrying out the financial transaction, or providing the product or service;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lastRenderedPageBreak/>
              <w:t>(C) the disclosure is required, or is a usual, appropriate, or acceptable method, for insurance underwriting at the consumer's request or for reinsurance purposes, or for any of the following purposes as they relate to a consumer's insurance: Account administration, reporting, investigating, or preventing fraud or material misrepresentation, processing premium payments, processing insurance claims, administering insurance benefits (including utilization review activities), participating in research projects, or as otherwise required or specifically permitted by Federal or State law; or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(D) the disclosure is required, or is a usual, appropriate or acceptable method, in connection with -</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 the authorization, settlement, billing, processing, clearing, transferring, reconciling, or collection of amounts charged, debited, or otherwise paid using a debit, credit or other payment card, check, or account number, or by other payment means;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(ii) the transfer of receivables, accounts or interests therein; or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(iii) the audit of debit, credit or other payment information.</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(8) State insurance authority</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''State insurance authority'' means, in the case of any person engaged in providing insurance, the State insurance authority of the State in which the person is domiciled.</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(9) Consumer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''consumer'' means an individual who obtains, from a financial institution, financial products or services which are to be used primarily for personal, family, or household purposes, and also means the legal representative of such an individual.</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(10) Joint agreement</w:t>
            </w:r>
          </w:p>
          <w:p w:rsidR="008D168A" w:rsidRPr="008D168A" w:rsidRDefault="008D168A" w:rsidP="008D168A">
            <w:pPr>
              <w:spacing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''joint agreement'' means a formal written contract pursuant to which two or more financial institutions jointly offer, endorse, or sponsor a financial product or service, and as may be further defined in the regulations prescribed under section 6804 of this title.</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(11) Customer relationship</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term ''time of establishing a customer relationship'' shall be defined by the regulations prescribed under section 6804 of this title, and shall, in the case of a financial institution engaged in extending credit directly to consumers to finance purchases of goods or services, mean the time of establishing the credit relationship with the consumer.</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(Pub. L. 106-102, title V, Sec. 509, Nov. 12, 1999, 113 Stat. 1443.)</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REFERENCES IN TEXT</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The Commodity Exchange Act, referred to in par. (3)(B), is act Sept. 21, 1922, ch. 369, 42 Stat. 998, as amended, which is classified generally to chapter 1 (Sec. 1 et seq.) of Title 7, Agriculture. For complete classification of this Act to the Code, see section 1 of Title 7 and Tables.</w:t>
            </w:r>
          </w:p>
          <w:p w:rsidR="008D168A" w:rsidRPr="008D168A" w:rsidRDefault="008D168A" w:rsidP="008D168A">
            <w:pPr>
              <w:spacing w:before="100" w:beforeAutospacing="1" w:after="100" w:afterAutospacing="1" w:line="240" w:lineRule="auto"/>
              <w:rPr>
                <w:rFonts w:ascii="Times New Roman" w:eastAsia="Times New Roman" w:hAnsi="Times New Roman" w:cs="Times New Roman"/>
                <w:sz w:val="24"/>
                <w:szCs w:val="24"/>
              </w:rPr>
            </w:pPr>
            <w:r w:rsidRPr="008D168A">
              <w:rPr>
                <w:rFonts w:ascii="Arial" w:eastAsia="Times New Roman" w:hAnsi="Arial" w:cs="Arial"/>
                <w:sz w:val="20"/>
                <w:szCs w:val="20"/>
              </w:rPr>
              <w:t xml:space="preserve">The Farm Credit Act of 1971, referred to in par. (3)(C), is Pub. L. 92-181, Dec. 10, 1971, 85 Stat. 583, as amended, which is classified generally to chapter 23 (Sec. 2001 et seq.) of Title 12, Banks </w:t>
            </w:r>
            <w:r w:rsidRPr="008D168A">
              <w:rPr>
                <w:rFonts w:ascii="Arial" w:eastAsia="Times New Roman" w:hAnsi="Arial" w:cs="Arial"/>
                <w:sz w:val="20"/>
                <w:szCs w:val="20"/>
              </w:rPr>
              <w:lastRenderedPageBreak/>
              <w:t>and Banking. For complete classification of this Act to the Code, see Short Title note set out under section 2001 of Title 12 and Tables.</w:t>
            </w:r>
          </w:p>
        </w:tc>
      </w:tr>
    </w:tbl>
    <w:p w:rsidR="00045498" w:rsidRDefault="008D168A"/>
    <w:sectPr w:rsidR="00045498" w:rsidSect="00BB3F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D168A"/>
    <w:rsid w:val="000C6A85"/>
    <w:rsid w:val="000D4A94"/>
    <w:rsid w:val="00112D6A"/>
    <w:rsid w:val="00185B02"/>
    <w:rsid w:val="001D4D95"/>
    <w:rsid w:val="002B4DC3"/>
    <w:rsid w:val="003304A0"/>
    <w:rsid w:val="004C31C6"/>
    <w:rsid w:val="00537126"/>
    <w:rsid w:val="00574DD2"/>
    <w:rsid w:val="00787B79"/>
    <w:rsid w:val="008D168A"/>
    <w:rsid w:val="009A66F2"/>
    <w:rsid w:val="00A6048A"/>
    <w:rsid w:val="00B631B7"/>
    <w:rsid w:val="00B7742C"/>
    <w:rsid w:val="00BB3F3E"/>
    <w:rsid w:val="00BD779E"/>
    <w:rsid w:val="00CD5296"/>
    <w:rsid w:val="00CF582B"/>
    <w:rsid w:val="00F26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F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168A"/>
    <w:rPr>
      <w:color w:val="004080"/>
      <w:u w:val="single"/>
    </w:rPr>
  </w:style>
  <w:style w:type="paragraph" w:styleId="NormalWeb">
    <w:name w:val="Normal (Web)"/>
    <w:basedOn w:val="Normal"/>
    <w:uiPriority w:val="99"/>
    <w:unhideWhenUsed/>
    <w:rsid w:val="008D16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68A"/>
    <w:rPr>
      <w:b/>
      <w:bCs/>
    </w:rPr>
  </w:style>
</w:styles>
</file>

<file path=word/webSettings.xml><?xml version="1.0" encoding="utf-8"?>
<w:webSettings xmlns:r="http://schemas.openxmlformats.org/officeDocument/2006/relationships" xmlns:w="http://schemas.openxmlformats.org/wordprocessingml/2006/main">
  <w:divs>
    <w:div w:id="1193031694">
      <w:bodyDiv w:val="1"/>
      <w:marLeft w:val="0"/>
      <w:marRight w:val="0"/>
      <w:marTop w:val="0"/>
      <w:marBottom w:val="0"/>
      <w:divBdr>
        <w:top w:val="none" w:sz="0" w:space="0" w:color="auto"/>
        <w:left w:val="none" w:sz="0" w:space="0" w:color="auto"/>
        <w:bottom w:val="none" w:sz="0" w:space="0" w:color="auto"/>
        <w:right w:val="none" w:sz="0" w:space="0" w:color="auto"/>
      </w:divBdr>
      <w:divsChild>
        <w:div w:id="195579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5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107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364333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33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19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2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4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51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179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321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22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128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17626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7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40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908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918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005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00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230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73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5355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90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601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368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43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14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39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54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820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38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17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476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92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68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53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372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106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8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128246">
          <w:blockQuote w:val="1"/>
          <w:marLeft w:val="720"/>
          <w:marRight w:val="720"/>
          <w:marTop w:val="100"/>
          <w:marBottom w:val="100"/>
          <w:divBdr>
            <w:top w:val="none" w:sz="0" w:space="0" w:color="auto"/>
            <w:left w:val="none" w:sz="0" w:space="0" w:color="auto"/>
            <w:bottom w:val="none" w:sz="0" w:space="0" w:color="auto"/>
            <w:right w:val="none" w:sz="0" w:space="0" w:color="auto"/>
          </w:divBdr>
        </w:div>
        <w:div w:id="442654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c.gov/privacy/glbact/glbsub1.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tc.gov/privacy/glbact/glbsub1.htm" TargetMode="External"/><Relationship Id="rId12" Type="http://schemas.openxmlformats.org/officeDocument/2006/relationships/hyperlink" Target="http://www.ftc.gov/privacy/glbact/glbsub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tc.gov/privacy/glbact/glbsub1.htm" TargetMode="External"/><Relationship Id="rId11" Type="http://schemas.openxmlformats.org/officeDocument/2006/relationships/hyperlink" Target="http://www.ftc.gov/privacy/glbact/glbsub1.htm" TargetMode="External"/><Relationship Id="rId5" Type="http://schemas.openxmlformats.org/officeDocument/2006/relationships/hyperlink" Target="http://www.ftc.gov/privacy/glbact/glbsub1.htm" TargetMode="External"/><Relationship Id="rId10" Type="http://schemas.openxmlformats.org/officeDocument/2006/relationships/hyperlink" Target="http://www.ftc.gov/privacy/glbact/glbsub1.htm" TargetMode="External"/><Relationship Id="rId4" Type="http://schemas.openxmlformats.org/officeDocument/2006/relationships/hyperlink" Target="http://www.ftc.gov/privacy/glbact/glbsub1.htm" TargetMode="External"/><Relationship Id="rId9" Type="http://schemas.openxmlformats.org/officeDocument/2006/relationships/hyperlink" Target="http://www.ftc.gov/privacy/glbact/glbsub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5035</Words>
  <Characters>28704</Characters>
  <Application>Microsoft Office Word</Application>
  <DocSecurity>0</DocSecurity>
  <Lines>239</Lines>
  <Paragraphs>67</Paragraphs>
  <ScaleCrop>false</ScaleCrop>
  <Company>Law Offices of Max Gardner III</Company>
  <LinksUpToDate>false</LinksUpToDate>
  <CharactersWithSpaces>33672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2010-09-16T13:43:00Z</dcterms:created>
  <dcterms:modified xsi:type="dcterms:W3CDTF">2010-09-16T15:10:00Z</dcterms:modified>
</cp:coreProperties>
</file>