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08A" w:rsidRDefault="0074008A" w:rsidP="0074008A">
      <w:pPr>
        <w:rPr>
          <w:rFonts w:ascii="Arial" w:hAnsi="Arial" w:cs="Arial"/>
          <w:sz w:val="20"/>
          <w:szCs w:val="20"/>
        </w:rPr>
      </w:pPr>
      <w:r>
        <w:rPr>
          <w:rFonts w:ascii="Arial" w:hAnsi="Arial" w:cs="Arial"/>
          <w:sz w:val="20"/>
          <w:szCs w:val="20"/>
        </w:rPr>
        <w:t xml:space="preserve">Thought everyone would appreciate the following from pages 8 and 9 of the Court’s Memorandum Opinion. The “Creditor” was Deutsche Bank National Trust Co. (“DBNTC”) as trustee of a securitized trust. The Court held DBNTC lacked standing because it could not prove a valid chain of assignments from the original holder of the deed of trust to DBNTC. I think Chief Judge Overstreet has the right idea here but is confusing the assignment of the deed of trust with the negotiation of the note. In </w:t>
      </w:r>
      <w:smartTag w:uri="urn:schemas-microsoft-com:office:smarttags" w:element="State">
        <w:smartTag w:uri="urn:schemas-microsoft-com:office:smarttags" w:element="place">
          <w:r>
            <w:rPr>
              <w:rFonts w:ascii="Arial" w:hAnsi="Arial" w:cs="Arial"/>
              <w:sz w:val="20"/>
              <w:szCs w:val="20"/>
            </w:rPr>
            <w:t>Washington</w:t>
          </w:r>
        </w:smartTag>
      </w:smartTag>
      <w:r>
        <w:rPr>
          <w:rFonts w:ascii="Arial" w:hAnsi="Arial" w:cs="Arial"/>
          <w:sz w:val="20"/>
          <w:szCs w:val="20"/>
        </w:rPr>
        <w:t>, the deed of trust follows the note so the focus should not be on the assignments but on the transfers of the note. If I’m off on my analysis here, please feel free to correct me.</w:t>
      </w:r>
    </w:p>
    <w:p w:rsidR="0074008A" w:rsidRDefault="0074008A" w:rsidP="0074008A">
      <w:pPr>
        <w:rPr>
          <w:rFonts w:ascii="Arial" w:hAnsi="Arial" w:cs="Arial"/>
          <w:sz w:val="20"/>
          <w:szCs w:val="20"/>
        </w:rPr>
      </w:pPr>
    </w:p>
    <w:p w:rsidR="0074008A" w:rsidRDefault="0074008A" w:rsidP="0074008A">
      <w:pPr>
        <w:autoSpaceDE w:val="0"/>
        <w:autoSpaceDN w:val="0"/>
        <w:rPr>
          <w:rFonts w:ascii="Courier New" w:hAnsi="Courier New" w:cs="Courier New"/>
        </w:rPr>
      </w:pPr>
      <w:r>
        <w:rPr>
          <w:rFonts w:ascii="Courier New" w:hAnsi="Courier New" w:cs="Courier New"/>
        </w:rPr>
        <w:t>     Debtor challenges Creditor’s standing in this case. She</w:t>
      </w:r>
    </w:p>
    <w:p w:rsidR="0074008A" w:rsidRDefault="0074008A" w:rsidP="0074008A">
      <w:pPr>
        <w:autoSpaceDE w:val="0"/>
        <w:autoSpaceDN w:val="0"/>
        <w:rPr>
          <w:rFonts w:ascii="Courier New" w:hAnsi="Courier New" w:cs="Courier New"/>
        </w:rPr>
      </w:pPr>
      <w:r>
        <w:rPr>
          <w:rFonts w:ascii="Courier New" w:hAnsi="Courier New" w:cs="Courier New"/>
        </w:rPr>
        <w:t xml:space="preserve">cites Judge Brandt’s opinion in </w:t>
      </w:r>
      <w:proofErr w:type="spellStart"/>
      <w:r>
        <w:rPr>
          <w:rFonts w:ascii="Courier New" w:hAnsi="Courier New" w:cs="Courier New"/>
          <w:i/>
          <w:iCs/>
        </w:rPr>
        <w:t>In</w:t>
      </w:r>
      <w:proofErr w:type="spellEnd"/>
      <w:r>
        <w:rPr>
          <w:rFonts w:ascii="Courier New" w:hAnsi="Courier New" w:cs="Courier New"/>
          <w:i/>
          <w:iCs/>
        </w:rPr>
        <w:t xml:space="preserve"> re Peter A. Jacobson et al.</w:t>
      </w:r>
      <w:r>
        <w:rPr>
          <w:rFonts w:ascii="Courier New" w:hAnsi="Courier New" w:cs="Courier New"/>
        </w:rPr>
        <w:t>,</w:t>
      </w:r>
    </w:p>
    <w:p w:rsidR="0074008A" w:rsidRDefault="0074008A" w:rsidP="0074008A">
      <w:pPr>
        <w:autoSpaceDE w:val="0"/>
        <w:autoSpaceDN w:val="0"/>
        <w:rPr>
          <w:rFonts w:ascii="Courier New" w:hAnsi="Courier New" w:cs="Courier New"/>
        </w:rPr>
      </w:pPr>
      <w:r>
        <w:rPr>
          <w:rFonts w:ascii="Courier New" w:hAnsi="Courier New" w:cs="Courier New"/>
        </w:rPr>
        <w:t>402 B.R. 359 (</w:t>
      </w:r>
      <w:proofErr w:type="spellStart"/>
      <w:r>
        <w:rPr>
          <w:rFonts w:ascii="Courier New" w:hAnsi="Courier New" w:cs="Courier New"/>
        </w:rPr>
        <w:t>Bankr</w:t>
      </w:r>
      <w:proofErr w:type="spellEnd"/>
      <w:r>
        <w:rPr>
          <w:rFonts w:ascii="Courier New" w:hAnsi="Courier New" w:cs="Courier New"/>
        </w:rPr>
        <w:t>. W.D. Wash. 2009), in which Judge Brandt</w:t>
      </w:r>
    </w:p>
    <w:p w:rsidR="0074008A" w:rsidRDefault="0074008A" w:rsidP="0074008A">
      <w:pPr>
        <w:autoSpaceDE w:val="0"/>
        <w:autoSpaceDN w:val="0"/>
        <w:rPr>
          <w:rFonts w:ascii="Courier New" w:hAnsi="Courier New" w:cs="Courier New"/>
        </w:rPr>
      </w:pPr>
      <w:r>
        <w:rPr>
          <w:rFonts w:ascii="Courier New" w:hAnsi="Courier New" w:cs="Courier New"/>
        </w:rPr>
        <w:t>addressed a claim by a servicer as follows: “[t]he real party in</w:t>
      </w:r>
    </w:p>
    <w:p w:rsidR="0074008A" w:rsidRDefault="0074008A" w:rsidP="0074008A">
      <w:pPr>
        <w:autoSpaceDE w:val="0"/>
        <w:autoSpaceDN w:val="0"/>
        <w:rPr>
          <w:rFonts w:ascii="Courier New" w:hAnsi="Courier New" w:cs="Courier New"/>
        </w:rPr>
      </w:pPr>
      <w:r>
        <w:rPr>
          <w:rFonts w:ascii="Courier New" w:hAnsi="Courier New" w:cs="Courier New"/>
        </w:rPr>
        <w:t>interest in relief from stay is whoever is entitled to enforce</w:t>
      </w:r>
    </w:p>
    <w:p w:rsidR="0074008A" w:rsidRDefault="0074008A" w:rsidP="0074008A">
      <w:pPr>
        <w:autoSpaceDE w:val="0"/>
        <w:autoSpaceDN w:val="0"/>
        <w:rPr>
          <w:rFonts w:ascii="Courier New" w:hAnsi="Courier New" w:cs="Courier New"/>
        </w:rPr>
      </w:pPr>
      <w:r>
        <w:rPr>
          <w:rFonts w:ascii="Courier New" w:hAnsi="Courier New" w:cs="Courier New"/>
        </w:rPr>
        <w:t>the obligation sought to be enforced. Even if a servicer or</w:t>
      </w:r>
    </w:p>
    <w:p w:rsidR="0074008A" w:rsidRDefault="0074008A" w:rsidP="0074008A">
      <w:pPr>
        <w:autoSpaceDE w:val="0"/>
        <w:autoSpaceDN w:val="0"/>
        <w:rPr>
          <w:rFonts w:ascii="Courier New" w:hAnsi="Courier New" w:cs="Courier New"/>
        </w:rPr>
      </w:pPr>
      <w:r>
        <w:rPr>
          <w:rFonts w:ascii="Courier New" w:hAnsi="Courier New" w:cs="Courier New"/>
        </w:rPr>
        <w:t>agent has authority to bring the motion on behalf of the holder,</w:t>
      </w:r>
    </w:p>
    <w:p w:rsidR="0074008A" w:rsidRDefault="0074008A" w:rsidP="0074008A">
      <w:pPr>
        <w:autoSpaceDE w:val="0"/>
        <w:autoSpaceDN w:val="0"/>
        <w:rPr>
          <w:rFonts w:ascii="Courier New" w:hAnsi="Courier New" w:cs="Courier New"/>
        </w:rPr>
      </w:pPr>
      <w:r>
        <w:rPr>
          <w:rFonts w:ascii="Courier New" w:hAnsi="Courier New" w:cs="Courier New"/>
        </w:rPr>
        <w:t>it is the holder, rather than the servicer, which must be the</w:t>
      </w:r>
    </w:p>
    <w:p w:rsidR="0074008A" w:rsidRDefault="0074008A" w:rsidP="0074008A">
      <w:pPr>
        <w:autoSpaceDE w:val="0"/>
        <w:autoSpaceDN w:val="0"/>
        <w:rPr>
          <w:rFonts w:ascii="Courier New" w:hAnsi="Courier New" w:cs="Courier New"/>
        </w:rPr>
      </w:pPr>
      <w:r>
        <w:rPr>
          <w:rFonts w:ascii="Courier New" w:hAnsi="Courier New" w:cs="Courier New"/>
        </w:rPr>
        <w:t>moving party, and so identified in the papers and in the</w:t>
      </w:r>
    </w:p>
    <w:p w:rsidR="0074008A" w:rsidRDefault="0074008A" w:rsidP="0074008A">
      <w:pPr>
        <w:autoSpaceDE w:val="0"/>
        <w:autoSpaceDN w:val="0"/>
        <w:rPr>
          <w:rFonts w:ascii="Courier New" w:hAnsi="Courier New" w:cs="Courier New"/>
        </w:rPr>
      </w:pPr>
      <w:r>
        <w:rPr>
          <w:rFonts w:ascii="Courier New" w:hAnsi="Courier New" w:cs="Courier New"/>
        </w:rPr>
        <w:t>electronic docketing done by the moving party’s counsel.”</w:t>
      </w:r>
    </w:p>
    <w:p w:rsidR="0074008A" w:rsidRDefault="0074008A" w:rsidP="0074008A">
      <w:pPr>
        <w:autoSpaceDE w:val="0"/>
        <w:autoSpaceDN w:val="0"/>
        <w:rPr>
          <w:rFonts w:ascii="Courier New" w:hAnsi="Courier New" w:cs="Courier New"/>
        </w:rPr>
      </w:pPr>
      <w:r>
        <w:rPr>
          <w:rFonts w:ascii="Courier New" w:hAnsi="Courier New" w:cs="Courier New"/>
        </w:rPr>
        <w:t>(</w:t>
      </w:r>
      <w:r>
        <w:rPr>
          <w:rFonts w:ascii="Courier New" w:hAnsi="Courier New" w:cs="Courier New"/>
          <w:i/>
          <w:iCs/>
        </w:rPr>
        <w:t xml:space="preserve">Jacobson </w:t>
      </w:r>
      <w:r>
        <w:rPr>
          <w:rFonts w:ascii="Courier New" w:hAnsi="Courier New" w:cs="Courier New"/>
        </w:rPr>
        <w:t>at page 10 of 18).</w:t>
      </w:r>
    </w:p>
    <w:p w:rsidR="0074008A" w:rsidRDefault="0074008A" w:rsidP="0074008A">
      <w:pPr>
        <w:autoSpaceDE w:val="0"/>
        <w:autoSpaceDN w:val="0"/>
        <w:rPr>
          <w:rFonts w:ascii="Courier New" w:hAnsi="Courier New" w:cs="Courier New"/>
        </w:rPr>
      </w:pPr>
      <w:r>
        <w:rPr>
          <w:rFonts w:ascii="Courier New" w:hAnsi="Courier New" w:cs="Courier New"/>
        </w:rPr>
        <w:t xml:space="preserve">     In the Affidavit of </w:t>
      </w:r>
      <w:proofErr w:type="spellStart"/>
      <w:r>
        <w:rPr>
          <w:rFonts w:ascii="Courier New" w:hAnsi="Courier New" w:cs="Courier New"/>
        </w:rPr>
        <w:t>Teressa</w:t>
      </w:r>
      <w:proofErr w:type="spellEnd"/>
      <w:r>
        <w:rPr>
          <w:rFonts w:ascii="Courier New" w:hAnsi="Courier New" w:cs="Courier New"/>
        </w:rPr>
        <w:t xml:space="preserve"> Williams (Docket No. 33), filed</w:t>
      </w:r>
    </w:p>
    <w:p w:rsidR="0074008A" w:rsidRDefault="0074008A" w:rsidP="0074008A">
      <w:pPr>
        <w:autoSpaceDE w:val="0"/>
        <w:autoSpaceDN w:val="0"/>
        <w:rPr>
          <w:rFonts w:ascii="Courier New" w:hAnsi="Courier New" w:cs="Courier New"/>
        </w:rPr>
      </w:pPr>
      <w:r>
        <w:rPr>
          <w:rFonts w:ascii="Courier New" w:hAnsi="Courier New" w:cs="Courier New"/>
        </w:rPr>
        <w:t>by Creditor in support of its objection to confirmation,</w:t>
      </w:r>
    </w:p>
    <w:p w:rsidR="0074008A" w:rsidRDefault="0074008A" w:rsidP="0074008A">
      <w:pPr>
        <w:autoSpaceDE w:val="0"/>
        <w:autoSpaceDN w:val="0"/>
        <w:rPr>
          <w:rFonts w:ascii="Courier New" w:hAnsi="Courier New" w:cs="Courier New"/>
        </w:rPr>
      </w:pPr>
      <w:r>
        <w:rPr>
          <w:rFonts w:ascii="Courier New" w:hAnsi="Courier New" w:cs="Courier New"/>
        </w:rPr>
        <w:t>Ms. Williams declares under oath that America’s Servicing Company is servicing the loan for Deutsche. She further declares that the Note is endorsed in blank and that America’s Servicing</w:t>
      </w:r>
    </w:p>
    <w:p w:rsidR="0074008A" w:rsidRDefault="0074008A" w:rsidP="0074008A">
      <w:pPr>
        <w:autoSpaceDE w:val="0"/>
        <w:autoSpaceDN w:val="0"/>
        <w:rPr>
          <w:rFonts w:ascii="Courier New" w:hAnsi="Courier New" w:cs="Courier New"/>
        </w:rPr>
      </w:pPr>
      <w:r>
        <w:rPr>
          <w:rFonts w:ascii="Courier New" w:hAnsi="Courier New" w:cs="Courier New"/>
        </w:rPr>
        <w:t>Company is “in possession of the original endorsed promissory</w:t>
      </w:r>
    </w:p>
    <w:p w:rsidR="0074008A" w:rsidRDefault="0074008A" w:rsidP="0074008A">
      <w:pPr>
        <w:autoSpaceDE w:val="0"/>
        <w:autoSpaceDN w:val="0"/>
        <w:rPr>
          <w:rFonts w:ascii="Courier New" w:hAnsi="Courier New" w:cs="Courier New"/>
        </w:rPr>
      </w:pPr>
      <w:r>
        <w:rPr>
          <w:rFonts w:ascii="Courier New" w:hAnsi="Courier New" w:cs="Courier New"/>
        </w:rPr>
        <w:t>Note.” Williams Decl., ¶ 3. The Deed of Trust has been assigned</w:t>
      </w:r>
    </w:p>
    <w:p w:rsidR="0074008A" w:rsidRDefault="0074008A" w:rsidP="0074008A">
      <w:pPr>
        <w:autoSpaceDE w:val="0"/>
        <w:autoSpaceDN w:val="0"/>
        <w:rPr>
          <w:rFonts w:ascii="Arial" w:hAnsi="Arial" w:cs="Arial"/>
          <w:sz w:val="20"/>
          <w:szCs w:val="20"/>
        </w:rPr>
      </w:pPr>
      <w:r>
        <w:rPr>
          <w:rFonts w:ascii="Courier New" w:hAnsi="Courier New" w:cs="Courier New"/>
        </w:rPr>
        <w:t>to Deutsche, but Debtor points out that the assignment was signed by a representative of Mortgage Electronic Registration Systems, Inc. and not by any officer or representative of the previous Deed of Trust holder, WMC. Williams Decl., Ex. C. The moving party here is Deutsche, although the Note is in the possession of America’s Servicing Company, the servicer. There is no evidence that America’s Servicing Company is holding the note for the benefit of Creditor, nor is it clear whether the assignment of the Deed of Trust is valid. In the absence of evidence that America’s Servicing Company has authority to hold the Note for the account of Creditor and of a valid chain of assignments from the original holder of the Deed of Trust to Creditor, the Court is unable to find that Creditor has standing.</w:t>
      </w:r>
    </w:p>
    <w:p w:rsidR="0074008A" w:rsidRDefault="0074008A" w:rsidP="0074008A">
      <w:r>
        <w:t> </w:t>
      </w:r>
    </w:p>
    <w:p w:rsidR="00045498" w:rsidRDefault="00311FFA"/>
    <w:sectPr w:rsidR="00045498" w:rsidSect="00BB3F3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FFA" w:rsidRDefault="00311FFA" w:rsidP="00311FFA">
      <w:r>
        <w:separator/>
      </w:r>
    </w:p>
  </w:endnote>
  <w:endnote w:type="continuationSeparator" w:id="0">
    <w:p w:rsidR="00311FFA" w:rsidRDefault="00311FFA" w:rsidP="00311F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2330956"/>
      <w:docPartObj>
        <w:docPartGallery w:val="Page Numbers (Bottom of Page)"/>
        <w:docPartUnique/>
      </w:docPartObj>
    </w:sdtPr>
    <w:sdtContent>
      <w:p w:rsidR="00311FFA" w:rsidRDefault="00311FFA">
        <w:pPr>
          <w:pStyle w:val="Footer"/>
          <w:jc w:val="right"/>
        </w:pPr>
        <w:fldSimple w:instr=" PAGE   \* MERGEFORMAT ">
          <w:r>
            <w:rPr>
              <w:noProof/>
            </w:rPr>
            <w:t>1</w:t>
          </w:r>
        </w:fldSimple>
      </w:p>
    </w:sdtContent>
  </w:sdt>
  <w:p w:rsidR="00311FFA" w:rsidRDefault="00311F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FFA" w:rsidRDefault="00311FFA" w:rsidP="00311FFA">
      <w:r>
        <w:separator/>
      </w:r>
    </w:p>
  </w:footnote>
  <w:footnote w:type="continuationSeparator" w:id="0">
    <w:p w:rsidR="00311FFA" w:rsidRDefault="00311FFA" w:rsidP="00311F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74008A"/>
    <w:rsid w:val="000C6A85"/>
    <w:rsid w:val="000D4A94"/>
    <w:rsid w:val="00112D6A"/>
    <w:rsid w:val="00185B02"/>
    <w:rsid w:val="001D4D95"/>
    <w:rsid w:val="002B4DC3"/>
    <w:rsid w:val="00311FFA"/>
    <w:rsid w:val="003304A0"/>
    <w:rsid w:val="00456502"/>
    <w:rsid w:val="004C31C6"/>
    <w:rsid w:val="00537126"/>
    <w:rsid w:val="00574DD2"/>
    <w:rsid w:val="0074008A"/>
    <w:rsid w:val="00767AF4"/>
    <w:rsid w:val="00787B79"/>
    <w:rsid w:val="00A6048A"/>
    <w:rsid w:val="00B631B7"/>
    <w:rsid w:val="00B7742C"/>
    <w:rsid w:val="00BB3F3E"/>
    <w:rsid w:val="00BD779E"/>
    <w:rsid w:val="00CD5296"/>
    <w:rsid w:val="00CF582B"/>
    <w:rsid w:val="00F265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08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11FFA"/>
    <w:pPr>
      <w:tabs>
        <w:tab w:val="center" w:pos="4680"/>
        <w:tab w:val="right" w:pos="9360"/>
      </w:tabs>
    </w:pPr>
  </w:style>
  <w:style w:type="character" w:customStyle="1" w:styleId="HeaderChar">
    <w:name w:val="Header Char"/>
    <w:basedOn w:val="DefaultParagraphFont"/>
    <w:link w:val="Header"/>
    <w:uiPriority w:val="99"/>
    <w:semiHidden/>
    <w:rsid w:val="00311FFA"/>
    <w:rPr>
      <w:rFonts w:ascii="Times New Roman" w:hAnsi="Times New Roman" w:cs="Times New Roman"/>
      <w:sz w:val="24"/>
      <w:szCs w:val="24"/>
    </w:rPr>
  </w:style>
  <w:style w:type="paragraph" w:styleId="Footer">
    <w:name w:val="footer"/>
    <w:basedOn w:val="Normal"/>
    <w:link w:val="FooterChar"/>
    <w:unhideWhenUsed/>
    <w:rsid w:val="00311FFA"/>
    <w:pPr>
      <w:tabs>
        <w:tab w:val="center" w:pos="4680"/>
        <w:tab w:val="right" w:pos="9360"/>
      </w:tabs>
    </w:pPr>
  </w:style>
  <w:style w:type="character" w:customStyle="1" w:styleId="FooterChar">
    <w:name w:val="Footer Char"/>
    <w:basedOn w:val="DefaultParagraphFont"/>
    <w:link w:val="Footer"/>
    <w:rsid w:val="00311FFA"/>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11FFA"/>
    <w:rPr>
      <w:rFonts w:ascii="Tahoma" w:hAnsi="Tahoma" w:cs="Tahoma"/>
      <w:sz w:val="16"/>
      <w:szCs w:val="16"/>
    </w:rPr>
  </w:style>
  <w:style w:type="character" w:customStyle="1" w:styleId="BalloonTextChar">
    <w:name w:val="Balloon Text Char"/>
    <w:basedOn w:val="DefaultParagraphFont"/>
    <w:link w:val="BalloonText"/>
    <w:uiPriority w:val="99"/>
    <w:semiHidden/>
    <w:rsid w:val="00311F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657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384</Words>
  <Characters>2190</Characters>
  <Application>Microsoft Office Word</Application>
  <DocSecurity>0</DocSecurity>
  <Lines>18</Lines>
  <Paragraphs>5</Paragraphs>
  <ScaleCrop>false</ScaleCrop>
  <Company>Law Offices of Max Gardner III</Company>
  <LinksUpToDate>false</LinksUpToDate>
  <CharactersWithSpaces>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cp:lastPrinted>2010-03-23T15:07:00Z</cp:lastPrinted>
  <dcterms:created xsi:type="dcterms:W3CDTF">2010-03-22T15:49:00Z</dcterms:created>
  <dcterms:modified xsi:type="dcterms:W3CDTF">2010-03-23T15:07:00Z</dcterms:modified>
</cp:coreProperties>
</file>